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B76" w:rsidRPr="00EB7994" w:rsidRDefault="00F66C92" w:rsidP="00EB7994">
      <w:pPr>
        <w:rPr>
          <w:rFonts w:ascii="Times New Roman" w:hAnsi="Times New Roman" w:cs="Times New Roman"/>
          <w:b/>
          <w:bCs/>
          <w:sz w:val="48"/>
          <w:szCs w:val="48"/>
        </w:rPr>
      </w:pPr>
      <w:r>
        <w:rPr>
          <w:noProof/>
          <w:lang w:eastAsia="fr-FR"/>
        </w:rPr>
        <w:drawing>
          <wp:anchor distT="0" distB="0" distL="114300" distR="114300" simplePos="0" relativeHeight="251658240" behindDoc="0" locked="0" layoutInCell="1" allowOverlap="1">
            <wp:simplePos x="0" y="0"/>
            <wp:positionH relativeFrom="column">
              <wp:posOffset>-218440</wp:posOffset>
            </wp:positionH>
            <wp:positionV relativeFrom="paragraph">
              <wp:posOffset>173990</wp:posOffset>
            </wp:positionV>
            <wp:extent cx="2066925" cy="733425"/>
            <wp:effectExtent l="19050" t="0" r="9525"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a:srcRect/>
                    <a:stretch>
                      <a:fillRect/>
                    </a:stretch>
                  </pic:blipFill>
                  <pic:spPr bwMode="auto">
                    <a:xfrm>
                      <a:off x="0" y="0"/>
                      <a:ext cx="2066925" cy="733425"/>
                    </a:xfrm>
                    <a:prstGeom prst="rect">
                      <a:avLst/>
                    </a:prstGeom>
                    <a:noFill/>
                  </pic:spPr>
                </pic:pic>
              </a:graphicData>
            </a:graphic>
          </wp:anchor>
        </w:drawing>
      </w:r>
      <w:r w:rsidR="00EB7994">
        <w:rPr>
          <w:b/>
          <w:bCs/>
          <w:noProof/>
          <w:color w:val="000000"/>
        </w:rPr>
        <w:t xml:space="preserve">                </w:t>
      </w:r>
      <w:r w:rsidR="00EB7994" w:rsidRPr="00EB7994">
        <w:rPr>
          <w:rFonts w:ascii="Times New Roman" w:hAnsi="Times New Roman" w:cs="Times New Roman"/>
          <w:b/>
          <w:bCs/>
          <w:noProof/>
          <w:color w:val="000000"/>
        </w:rPr>
        <w:t>1610006 bis</w:t>
      </w:r>
    </w:p>
    <w:p w:rsidR="004E7B76" w:rsidRDefault="004E7B76" w:rsidP="00FB001F">
      <w:pPr>
        <w:jc w:val="center"/>
        <w:rPr>
          <w:rFonts w:ascii="Times New Roman" w:hAnsi="Times New Roman" w:cs="Times New Roman"/>
          <w:b/>
          <w:bCs/>
          <w:sz w:val="48"/>
          <w:szCs w:val="48"/>
        </w:rPr>
      </w:pPr>
    </w:p>
    <w:p w:rsidR="004E7B76" w:rsidRDefault="004E7B76" w:rsidP="00DE50E3">
      <w:pPr>
        <w:jc w:val="right"/>
        <w:rPr>
          <w:rFonts w:ascii="Times New Roman" w:hAnsi="Times New Roman" w:cs="Times New Roman"/>
          <w:b/>
          <w:bCs/>
          <w:sz w:val="48"/>
          <w:szCs w:val="48"/>
        </w:rPr>
      </w:pPr>
    </w:p>
    <w:p w:rsidR="004E7B76" w:rsidRDefault="004E7B76" w:rsidP="00FB001F">
      <w:pPr>
        <w:jc w:val="center"/>
        <w:rPr>
          <w:rFonts w:ascii="Times New Roman" w:hAnsi="Times New Roman" w:cs="Times New Roman"/>
          <w:b/>
          <w:bCs/>
          <w:sz w:val="48"/>
          <w:szCs w:val="48"/>
        </w:rPr>
      </w:pPr>
    </w:p>
    <w:p w:rsidR="004E7B76" w:rsidRDefault="004E7B76" w:rsidP="00FB001F">
      <w:pPr>
        <w:jc w:val="center"/>
        <w:rPr>
          <w:rFonts w:ascii="Times New Roman" w:hAnsi="Times New Roman" w:cs="Times New Roman"/>
          <w:b/>
          <w:bCs/>
          <w:sz w:val="48"/>
          <w:szCs w:val="48"/>
        </w:rPr>
      </w:pPr>
    </w:p>
    <w:p w:rsidR="004E7B76" w:rsidRPr="00FB001F" w:rsidRDefault="004E7B76" w:rsidP="00FB001F">
      <w:pPr>
        <w:jc w:val="center"/>
        <w:rPr>
          <w:rFonts w:ascii="Times New Roman" w:hAnsi="Times New Roman" w:cs="Times New Roman"/>
          <w:b/>
          <w:bCs/>
          <w:noProof/>
          <w:sz w:val="48"/>
          <w:szCs w:val="48"/>
        </w:rPr>
      </w:pPr>
      <w:r w:rsidRPr="00FB001F">
        <w:rPr>
          <w:rFonts w:ascii="Times New Roman" w:hAnsi="Times New Roman" w:cs="Times New Roman"/>
          <w:b/>
          <w:bCs/>
          <w:sz w:val="48"/>
          <w:szCs w:val="48"/>
        </w:rPr>
        <w:t>SESSION 2016</w:t>
      </w:r>
    </w:p>
    <w:p w:rsidR="004E7B76" w:rsidRPr="00FB001F" w:rsidRDefault="004E7B76" w:rsidP="00FB001F">
      <w:pPr>
        <w:jc w:val="center"/>
        <w:rPr>
          <w:rFonts w:ascii="Times New Roman" w:hAnsi="Times New Roman" w:cs="Times New Roman"/>
          <w:b/>
          <w:bCs/>
          <w:noProof/>
        </w:rPr>
      </w:pPr>
    </w:p>
    <w:p w:rsidR="004E7B76" w:rsidRPr="00FB001F" w:rsidRDefault="004E7B76" w:rsidP="00FB001F">
      <w:pPr>
        <w:jc w:val="center"/>
        <w:rPr>
          <w:rFonts w:ascii="Times New Roman" w:hAnsi="Times New Roman" w:cs="Times New Roman"/>
          <w:b/>
          <w:bCs/>
          <w:noProof/>
        </w:rPr>
      </w:pPr>
    </w:p>
    <w:p w:rsidR="004E7B76" w:rsidRPr="00FB001F" w:rsidRDefault="004E7B76" w:rsidP="00FB001F">
      <w:pPr>
        <w:jc w:val="center"/>
        <w:rPr>
          <w:rFonts w:ascii="Times New Roman" w:hAnsi="Times New Roman" w:cs="Times New Roman"/>
          <w:b/>
          <w:bCs/>
          <w:noProof/>
          <w:sz w:val="48"/>
          <w:szCs w:val="48"/>
        </w:rPr>
      </w:pPr>
      <w:r w:rsidRPr="00FB001F">
        <w:rPr>
          <w:rFonts w:ascii="Times New Roman" w:hAnsi="Times New Roman" w:cs="Times New Roman"/>
          <w:b/>
          <w:bCs/>
          <w:noProof/>
          <w:sz w:val="48"/>
          <w:szCs w:val="48"/>
        </w:rPr>
        <w:t>UE 6 – FINANCE D’ENTREPRISE</w:t>
      </w:r>
    </w:p>
    <w:p w:rsidR="004E7B76" w:rsidRPr="00FB001F" w:rsidRDefault="004E7B76" w:rsidP="00FB001F">
      <w:pPr>
        <w:jc w:val="center"/>
        <w:rPr>
          <w:rFonts w:ascii="Times New Roman" w:hAnsi="Times New Roman" w:cs="Times New Roman"/>
          <w:b/>
          <w:bCs/>
          <w:noProof/>
        </w:rPr>
      </w:pPr>
    </w:p>
    <w:p w:rsidR="004E7B76" w:rsidRPr="00FB001F" w:rsidRDefault="004E7B76" w:rsidP="00FB001F">
      <w:pPr>
        <w:jc w:val="center"/>
        <w:rPr>
          <w:rFonts w:ascii="Times New Roman" w:hAnsi="Times New Roman" w:cs="Times New Roman"/>
          <w:b/>
          <w:bCs/>
          <w:noProof/>
          <w:sz w:val="36"/>
          <w:szCs w:val="36"/>
        </w:rPr>
      </w:pPr>
      <w:r>
        <w:rPr>
          <w:rFonts w:ascii="Times New Roman" w:hAnsi="Times New Roman" w:cs="Times New Roman"/>
          <w:b/>
          <w:bCs/>
          <w:noProof/>
          <w:sz w:val="36"/>
          <w:szCs w:val="36"/>
        </w:rPr>
        <w:t>Proposition de c</w:t>
      </w:r>
      <w:r w:rsidRPr="00FB001F">
        <w:rPr>
          <w:rFonts w:ascii="Times New Roman" w:hAnsi="Times New Roman" w:cs="Times New Roman"/>
          <w:b/>
          <w:bCs/>
          <w:noProof/>
          <w:sz w:val="36"/>
          <w:szCs w:val="36"/>
        </w:rPr>
        <w:t>orrigé</w:t>
      </w:r>
    </w:p>
    <w:p w:rsidR="004E7B76" w:rsidRPr="00FB001F" w:rsidRDefault="004E7B76" w:rsidP="00693121">
      <w:pPr>
        <w:rPr>
          <w:rFonts w:ascii="Times New Roman" w:hAnsi="Times New Roman" w:cs="Times New Roman"/>
          <w:b/>
          <w:bCs/>
        </w:rPr>
      </w:pPr>
    </w:p>
    <w:p w:rsidR="004E7B76" w:rsidRDefault="004E7B76" w:rsidP="00EA6152">
      <w:pPr>
        <w:pBdr>
          <w:top w:val="single" w:sz="4" w:space="1" w:color="auto" w:shadow="1"/>
          <w:left w:val="single" w:sz="4" w:space="4" w:color="auto" w:shadow="1"/>
          <w:bottom w:val="single" w:sz="4" w:space="1" w:color="auto" w:shadow="1"/>
          <w:right w:val="single" w:sz="4" w:space="4" w:color="auto" w:shadow="1"/>
        </w:pBdr>
        <w:ind w:left="360"/>
        <w:jc w:val="center"/>
        <w:rPr>
          <w:rFonts w:ascii="Times New Roman" w:hAnsi="Times New Roman" w:cs="Times New Roman"/>
          <w:b/>
          <w:bCs/>
        </w:rPr>
        <w:sectPr w:rsidR="004E7B76" w:rsidSect="00EB7994">
          <w:footerReference w:type="default" r:id="rId8"/>
          <w:pgSz w:w="11906" w:h="16838"/>
          <w:pgMar w:top="1134" w:right="1418" w:bottom="1418" w:left="1418" w:header="709" w:footer="57" w:gutter="0"/>
          <w:cols w:space="708"/>
          <w:rtlGutter/>
          <w:docGrid w:linePitch="360"/>
        </w:sectPr>
      </w:pPr>
    </w:p>
    <w:p w:rsidR="004E7B76" w:rsidRPr="00FB001F" w:rsidRDefault="004E7B76" w:rsidP="00EA6152">
      <w:pPr>
        <w:pBdr>
          <w:top w:val="single" w:sz="4" w:space="1" w:color="auto" w:shadow="1"/>
          <w:left w:val="single" w:sz="4" w:space="4" w:color="auto" w:shadow="1"/>
          <w:bottom w:val="single" w:sz="4" w:space="1" w:color="auto" w:shadow="1"/>
          <w:right w:val="single" w:sz="4" w:space="4" w:color="auto" w:shadow="1"/>
        </w:pBdr>
        <w:ind w:left="360"/>
        <w:jc w:val="center"/>
        <w:rPr>
          <w:rFonts w:ascii="Times New Roman" w:hAnsi="Times New Roman" w:cs="Times New Roman"/>
          <w:b/>
          <w:bCs/>
        </w:rPr>
      </w:pPr>
      <w:r w:rsidRPr="00FB001F">
        <w:rPr>
          <w:rFonts w:ascii="Times New Roman" w:hAnsi="Times New Roman" w:cs="Times New Roman"/>
          <w:b/>
          <w:bCs/>
        </w:rPr>
        <w:lastRenderedPageBreak/>
        <w:t>DOSSIER 1 : DIAGNOSTIC FINANCIER</w:t>
      </w:r>
    </w:p>
    <w:p w:rsidR="004E7B76" w:rsidRPr="00EB7994" w:rsidRDefault="004E7B76" w:rsidP="00C326F9">
      <w:pPr>
        <w:spacing w:after="0" w:line="240" w:lineRule="auto"/>
        <w:jc w:val="both"/>
        <w:rPr>
          <w:rFonts w:ascii="Times New Roman" w:hAnsi="Times New Roman" w:cs="Times New Roman"/>
          <w:b/>
          <w:bCs/>
          <w:i/>
          <w:iCs/>
        </w:rPr>
      </w:pPr>
      <w:r w:rsidRPr="00EB7994">
        <w:rPr>
          <w:rFonts w:ascii="Times New Roman" w:hAnsi="Times New Roman" w:cs="Times New Roman"/>
          <w:b/>
          <w:bCs/>
        </w:rPr>
        <w:t xml:space="preserve">A l’aide des </w:t>
      </w:r>
      <w:r w:rsidRPr="00EB7994">
        <w:rPr>
          <w:rFonts w:ascii="Times New Roman" w:hAnsi="Times New Roman" w:cs="Times New Roman"/>
          <w:b/>
          <w:bCs/>
          <w:i/>
          <w:iCs/>
        </w:rPr>
        <w:t>annexes 1 à 8 :</w:t>
      </w:r>
    </w:p>
    <w:p w:rsidR="004E7B76" w:rsidRPr="00EB7994" w:rsidRDefault="004E7B76" w:rsidP="00C326F9">
      <w:pPr>
        <w:pStyle w:val="Paragraphedeliste"/>
        <w:numPr>
          <w:ilvl w:val="0"/>
          <w:numId w:val="1"/>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Rappeler l’utilité de la valeur ajoutée (VA).</w:t>
      </w:r>
    </w:p>
    <w:p w:rsidR="004E7B76" w:rsidRPr="00EB7994" w:rsidRDefault="004E7B76" w:rsidP="00C326F9">
      <w:pPr>
        <w:spacing w:after="0" w:line="240" w:lineRule="auto"/>
        <w:jc w:val="both"/>
        <w:rPr>
          <w:rFonts w:ascii="Times New Roman" w:hAnsi="Times New Roman" w:cs="Times New Roman"/>
        </w:rPr>
      </w:pPr>
      <w:r w:rsidRPr="00EB7994">
        <w:rPr>
          <w:rFonts w:ascii="Times New Roman" w:hAnsi="Times New Roman" w:cs="Times New Roman"/>
        </w:rPr>
        <w:t>Mesurer la création de richesse au regard de ses opérations d’exploitation.</w:t>
      </w:r>
    </w:p>
    <w:p w:rsidR="004E7B76" w:rsidRPr="00EB7994" w:rsidRDefault="004E7B76" w:rsidP="00C326F9">
      <w:pPr>
        <w:spacing w:after="0" w:line="240" w:lineRule="auto"/>
        <w:jc w:val="both"/>
        <w:rPr>
          <w:rFonts w:ascii="Times New Roman" w:hAnsi="Times New Roman" w:cs="Times New Roman"/>
        </w:rPr>
      </w:pPr>
    </w:p>
    <w:p w:rsidR="004E7B76" w:rsidRPr="00EB7994" w:rsidRDefault="004E7B76" w:rsidP="00C326F9">
      <w:pPr>
        <w:pStyle w:val="Paragraphedeliste"/>
        <w:numPr>
          <w:ilvl w:val="0"/>
          <w:numId w:val="1"/>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Procéder au calcul de son partage entre le personnel, l’Etat, les prêteurs et la société elle-même pour l’exercice 2015 (annexe A à rendre avec la copie). Commenter brièvement les résultats obtenus.</w:t>
      </w:r>
    </w:p>
    <w:p w:rsidR="004E7B76" w:rsidRPr="00EB7994" w:rsidRDefault="004E7B76" w:rsidP="00C326F9">
      <w:pPr>
        <w:spacing w:after="0" w:line="240" w:lineRule="auto"/>
        <w:jc w:val="both"/>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17"/>
        <w:gridCol w:w="3850"/>
        <w:gridCol w:w="1604"/>
        <w:gridCol w:w="1215"/>
      </w:tblGrid>
      <w:tr w:rsidR="004E7B76" w:rsidRPr="00EB7994">
        <w:trPr>
          <w:jc w:val="center"/>
        </w:trPr>
        <w:tc>
          <w:tcPr>
            <w:tcW w:w="2759" w:type="dxa"/>
          </w:tcPr>
          <w:p w:rsidR="004E7B76" w:rsidRPr="00EB7994" w:rsidRDefault="004E7B76" w:rsidP="00266F2A">
            <w:pPr>
              <w:tabs>
                <w:tab w:val="left" w:pos="1770"/>
              </w:tabs>
              <w:spacing w:after="0" w:line="240" w:lineRule="auto"/>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Ratios 2015</w:t>
            </w: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2015</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2014</w:t>
            </w:r>
          </w:p>
        </w:tc>
      </w:tr>
      <w:tr w:rsidR="004E7B76" w:rsidRPr="00EB7994">
        <w:trPr>
          <w:jc w:val="center"/>
        </w:trPr>
        <w:tc>
          <w:tcPr>
            <w:tcW w:w="2759" w:type="dxa"/>
          </w:tcPr>
          <w:p w:rsidR="004E7B76" w:rsidRPr="00EB7994" w:rsidRDefault="004E7B76" w:rsidP="00266F2A">
            <w:pPr>
              <w:tabs>
                <w:tab w:val="left" w:pos="1770"/>
              </w:tabs>
              <w:spacing w:after="0" w:line="240" w:lineRule="auto"/>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Détail du calcul</w:t>
            </w: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Résultat en %</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w:t>
            </w:r>
          </w:p>
        </w:tc>
      </w:tr>
      <w:tr w:rsidR="004E7B76" w:rsidRPr="00EB7994" w:rsidTr="005010ED">
        <w:trPr>
          <w:trHeight w:val="77"/>
          <w:jc w:val="center"/>
        </w:trPr>
        <w:tc>
          <w:tcPr>
            <w:tcW w:w="2759" w:type="dxa"/>
            <w:vAlign w:val="center"/>
          </w:tcPr>
          <w:p w:rsidR="004E7B76" w:rsidRPr="00EB7994" w:rsidRDefault="004E7B76" w:rsidP="005010ED">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Partage de la VA  :</w:t>
            </w:r>
          </w:p>
        </w:tc>
        <w:tc>
          <w:tcPr>
            <w:tcW w:w="4141" w:type="dxa"/>
            <w:shd w:val="clear" w:color="auto" w:fill="D9D9D9"/>
            <w:vAlign w:val="center"/>
          </w:tcPr>
          <w:p w:rsidR="004E7B76" w:rsidRPr="00EB7994" w:rsidRDefault="004E7B76" w:rsidP="005010ED">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1 687 455 – (69 158-969+444 918) =</w:t>
            </w:r>
          </w:p>
          <w:p w:rsidR="004E7B76" w:rsidRPr="00EB7994" w:rsidRDefault="004E7B76" w:rsidP="005010ED">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1 174 348</w:t>
            </w:r>
          </w:p>
        </w:tc>
        <w:tc>
          <w:tcPr>
            <w:tcW w:w="1678" w:type="dxa"/>
            <w:vAlign w:val="center"/>
          </w:tcPr>
          <w:p w:rsidR="004E7B76" w:rsidRPr="00EB7994" w:rsidRDefault="004E7B76" w:rsidP="005010ED">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100 %</w:t>
            </w:r>
          </w:p>
        </w:tc>
        <w:tc>
          <w:tcPr>
            <w:tcW w:w="1276" w:type="dxa"/>
            <w:vAlign w:val="center"/>
          </w:tcPr>
          <w:p w:rsidR="004E7B76" w:rsidRPr="00EB7994" w:rsidRDefault="004E7B76" w:rsidP="005010ED">
            <w:pPr>
              <w:tabs>
                <w:tab w:val="left" w:pos="1770"/>
              </w:tabs>
              <w:spacing w:after="0" w:line="240" w:lineRule="auto"/>
              <w:jc w:val="center"/>
              <w:rPr>
                <w:rFonts w:ascii="Times New Roman" w:hAnsi="Times New Roman" w:cs="Times New Roman"/>
                <w:b/>
                <w:bCs/>
              </w:rPr>
            </w:pPr>
            <w:r w:rsidRPr="00EB7994">
              <w:rPr>
                <w:rFonts w:ascii="Times New Roman" w:hAnsi="Times New Roman" w:cs="Times New Roman"/>
                <w:b/>
                <w:bCs/>
              </w:rPr>
              <w:t>100 %</w:t>
            </w:r>
          </w:p>
        </w:tc>
      </w:tr>
      <w:tr w:rsidR="004E7B76" w:rsidRPr="00EB7994">
        <w:trPr>
          <w:jc w:val="center"/>
        </w:trPr>
        <w:tc>
          <w:tcPr>
            <w:tcW w:w="2759" w:type="dxa"/>
          </w:tcPr>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p w:rsidR="004E7B76" w:rsidRPr="00EB7994" w:rsidRDefault="004E7B76" w:rsidP="005010ED">
            <w:pPr>
              <w:pStyle w:val="Paragraphedeliste"/>
              <w:numPr>
                <w:ilvl w:val="0"/>
                <w:numId w:val="31"/>
              </w:numPr>
              <w:tabs>
                <w:tab w:val="left" w:pos="426"/>
              </w:tabs>
              <w:spacing w:after="0" w:line="240" w:lineRule="auto"/>
              <w:jc w:val="both"/>
              <w:rPr>
                <w:rFonts w:ascii="Times New Roman" w:hAnsi="Times New Roman" w:cs="Times New Roman"/>
              </w:rPr>
            </w:pPr>
            <w:r w:rsidRPr="00EB7994">
              <w:rPr>
                <w:rFonts w:ascii="Times New Roman" w:hAnsi="Times New Roman" w:cs="Times New Roman"/>
              </w:rPr>
              <w:t>Personnel</w:t>
            </w:r>
          </w:p>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 xml:space="preserve">(494 051 + 155 380) / 1 174 348 </w:t>
            </w:r>
          </w:p>
          <w:p w:rsidR="004E7B76" w:rsidRPr="00EB7994" w:rsidRDefault="004E7B76" w:rsidP="00266F2A">
            <w:pPr>
              <w:tabs>
                <w:tab w:val="left" w:pos="1770"/>
              </w:tabs>
              <w:spacing w:after="0" w:line="240" w:lineRule="auto"/>
              <w:rPr>
                <w:rFonts w:ascii="Times New Roman" w:hAnsi="Times New Roman" w:cs="Times New Roman"/>
              </w:rPr>
            </w:pP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55,30 %</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60,70 %</w:t>
            </w:r>
          </w:p>
        </w:tc>
      </w:tr>
      <w:tr w:rsidR="004E7B76" w:rsidRPr="00EB7994">
        <w:trPr>
          <w:jc w:val="center"/>
        </w:trPr>
        <w:tc>
          <w:tcPr>
            <w:tcW w:w="2759" w:type="dxa"/>
          </w:tcPr>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p w:rsidR="004E7B76" w:rsidRPr="00EB7994" w:rsidRDefault="004E7B76" w:rsidP="005010ED">
            <w:pPr>
              <w:pStyle w:val="Paragraphedeliste"/>
              <w:numPr>
                <w:ilvl w:val="0"/>
                <w:numId w:val="31"/>
              </w:numPr>
              <w:tabs>
                <w:tab w:val="left" w:pos="426"/>
              </w:tabs>
              <w:spacing w:after="0" w:line="240" w:lineRule="auto"/>
              <w:jc w:val="both"/>
              <w:rPr>
                <w:rFonts w:ascii="Times New Roman" w:hAnsi="Times New Roman" w:cs="Times New Roman"/>
              </w:rPr>
            </w:pPr>
            <w:r w:rsidRPr="00EB7994">
              <w:rPr>
                <w:rFonts w:ascii="Times New Roman" w:hAnsi="Times New Roman" w:cs="Times New Roman"/>
              </w:rPr>
              <w:t>Etat</w:t>
            </w:r>
          </w:p>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71 616 / 1 174 348</w:t>
            </w: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6,10 %</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6,78 %</w:t>
            </w:r>
          </w:p>
        </w:tc>
      </w:tr>
      <w:tr w:rsidR="004E7B76" w:rsidRPr="00EB7994">
        <w:trPr>
          <w:jc w:val="center"/>
        </w:trPr>
        <w:tc>
          <w:tcPr>
            <w:tcW w:w="2759" w:type="dxa"/>
          </w:tcPr>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p w:rsidR="004E7B76" w:rsidRPr="00EB7994" w:rsidRDefault="004E7B76" w:rsidP="005010ED">
            <w:pPr>
              <w:pStyle w:val="Paragraphedeliste"/>
              <w:numPr>
                <w:ilvl w:val="0"/>
                <w:numId w:val="31"/>
              </w:numPr>
              <w:tabs>
                <w:tab w:val="left" w:pos="426"/>
              </w:tabs>
              <w:spacing w:after="0" w:line="240" w:lineRule="auto"/>
              <w:jc w:val="both"/>
              <w:rPr>
                <w:rFonts w:ascii="Times New Roman" w:hAnsi="Times New Roman" w:cs="Times New Roman"/>
              </w:rPr>
            </w:pPr>
            <w:r w:rsidRPr="00EB7994">
              <w:rPr>
                <w:rFonts w:ascii="Times New Roman" w:hAnsi="Times New Roman" w:cs="Times New Roman"/>
              </w:rPr>
              <w:t>Prêteurs</w:t>
            </w:r>
          </w:p>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 xml:space="preserve">15 110 / 1 174 348 </w:t>
            </w: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1,29 %</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1,69 %</w:t>
            </w:r>
          </w:p>
        </w:tc>
      </w:tr>
      <w:tr w:rsidR="004E7B76" w:rsidRPr="00EB7994">
        <w:trPr>
          <w:jc w:val="center"/>
        </w:trPr>
        <w:tc>
          <w:tcPr>
            <w:tcW w:w="2759" w:type="dxa"/>
          </w:tcPr>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p w:rsidR="004E7B76" w:rsidRPr="00EB7994" w:rsidRDefault="004E7B76" w:rsidP="005010ED">
            <w:pPr>
              <w:pStyle w:val="Paragraphedeliste"/>
              <w:numPr>
                <w:ilvl w:val="0"/>
                <w:numId w:val="31"/>
              </w:numPr>
              <w:tabs>
                <w:tab w:val="left" w:pos="426"/>
              </w:tabs>
              <w:spacing w:after="0" w:line="240" w:lineRule="auto"/>
              <w:jc w:val="both"/>
              <w:rPr>
                <w:rFonts w:ascii="Times New Roman" w:hAnsi="Times New Roman" w:cs="Times New Roman"/>
              </w:rPr>
            </w:pPr>
            <w:r w:rsidRPr="00EB7994">
              <w:rPr>
                <w:rFonts w:ascii="Times New Roman" w:hAnsi="Times New Roman" w:cs="Times New Roman"/>
              </w:rPr>
              <w:t>Restant (Entreprise et associés)</w:t>
            </w:r>
          </w:p>
          <w:p w:rsidR="004E7B76" w:rsidRPr="00EB7994" w:rsidRDefault="004E7B76" w:rsidP="005010ED">
            <w:pPr>
              <w:pStyle w:val="Paragraphedeliste"/>
              <w:tabs>
                <w:tab w:val="left" w:pos="426"/>
              </w:tabs>
              <w:spacing w:after="0" w:line="240" w:lineRule="auto"/>
              <w:ind w:left="360"/>
              <w:rPr>
                <w:rFonts w:ascii="Times New Roman" w:hAnsi="Times New Roman" w:cs="Times New Roman"/>
              </w:rPr>
            </w:pPr>
          </w:p>
        </w:tc>
        <w:tc>
          <w:tcPr>
            <w:tcW w:w="4141"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 xml:space="preserve">100 % - partage de la VA envers le personnel, l’Etat et les prêteurs </w:t>
            </w: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 100 % - (55,30 % + 6,10 % + 1,29 %)</w:t>
            </w:r>
          </w:p>
        </w:tc>
        <w:tc>
          <w:tcPr>
            <w:tcW w:w="1678"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37,61 %</w:t>
            </w:r>
          </w:p>
        </w:tc>
        <w:tc>
          <w:tcPr>
            <w:tcW w:w="1276" w:type="dxa"/>
          </w:tcPr>
          <w:p w:rsidR="004E7B76" w:rsidRPr="00EB7994" w:rsidRDefault="004E7B76" w:rsidP="00266F2A">
            <w:pPr>
              <w:tabs>
                <w:tab w:val="left" w:pos="1770"/>
              </w:tabs>
              <w:spacing w:after="0" w:line="240" w:lineRule="auto"/>
              <w:jc w:val="center"/>
              <w:rPr>
                <w:rFonts w:ascii="Times New Roman" w:hAnsi="Times New Roman" w:cs="Times New Roman"/>
              </w:rPr>
            </w:pPr>
          </w:p>
          <w:p w:rsidR="004E7B76" w:rsidRPr="00EB7994" w:rsidRDefault="004E7B76" w:rsidP="00266F2A">
            <w:pPr>
              <w:tabs>
                <w:tab w:val="left" w:pos="1770"/>
              </w:tabs>
              <w:spacing w:after="0" w:line="240" w:lineRule="auto"/>
              <w:jc w:val="center"/>
              <w:rPr>
                <w:rFonts w:ascii="Times New Roman" w:hAnsi="Times New Roman" w:cs="Times New Roman"/>
              </w:rPr>
            </w:pPr>
            <w:r w:rsidRPr="00EB7994">
              <w:rPr>
                <w:rFonts w:ascii="Times New Roman" w:hAnsi="Times New Roman" w:cs="Times New Roman"/>
              </w:rPr>
              <w:t>30,83 %</w:t>
            </w:r>
          </w:p>
        </w:tc>
      </w:tr>
    </w:tbl>
    <w:p w:rsidR="004E7B76" w:rsidRPr="00EB7994" w:rsidRDefault="004E7B76" w:rsidP="00C326F9">
      <w:pPr>
        <w:spacing w:after="0" w:line="240" w:lineRule="auto"/>
        <w:jc w:val="both"/>
        <w:rPr>
          <w:rFonts w:ascii="Times New Roman" w:hAnsi="Times New Roman" w:cs="Times New Roman"/>
          <w:b/>
          <w:bCs/>
        </w:rPr>
      </w:pPr>
    </w:p>
    <w:p w:rsidR="004E7B76" w:rsidRPr="00EB7994" w:rsidRDefault="004E7B76" w:rsidP="00C326F9">
      <w:pPr>
        <w:pStyle w:val="Paragraphedeliste"/>
        <w:numPr>
          <w:ilvl w:val="0"/>
          <w:numId w:val="1"/>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Calculer l’excédent brut d’exploitation (EBE) pour l’exercice 2015 et rappeler la principale limite de cet indicateur.</w:t>
      </w:r>
    </w:p>
    <w:p w:rsidR="004E7B76" w:rsidRPr="00EB7994" w:rsidRDefault="004E7B76" w:rsidP="00C326F9">
      <w:pPr>
        <w:spacing w:after="0" w:line="240" w:lineRule="auto"/>
        <w:jc w:val="both"/>
        <w:rPr>
          <w:rFonts w:ascii="Times New Roman" w:hAnsi="Times New Roman" w:cs="Times New Roman"/>
        </w:rPr>
      </w:pPr>
      <w:r w:rsidRPr="00EB7994">
        <w:rPr>
          <w:rFonts w:ascii="Times New Roman" w:hAnsi="Times New Roman" w:cs="Times New Roman"/>
        </w:rPr>
        <w:t>EBE : 1 174 348 – 71 616 – 494 051 – 155 380 = 453 301</w:t>
      </w:r>
    </w:p>
    <w:p w:rsidR="004E7B76" w:rsidRPr="00EB7994" w:rsidRDefault="004E7B76" w:rsidP="00C326F9">
      <w:pPr>
        <w:spacing w:after="0" w:line="240" w:lineRule="auto"/>
        <w:jc w:val="both"/>
        <w:rPr>
          <w:rFonts w:ascii="Times New Roman" w:hAnsi="Times New Roman" w:cs="Times New Roman"/>
        </w:rPr>
      </w:pPr>
      <w:r w:rsidRPr="00EB7994">
        <w:rPr>
          <w:rFonts w:ascii="Times New Roman" w:hAnsi="Times New Roman" w:cs="Times New Roman"/>
        </w:rPr>
        <w:t xml:space="preserve">C’est un excédent </w:t>
      </w:r>
      <w:r w:rsidRPr="00EB7994">
        <w:rPr>
          <w:rFonts w:ascii="Times New Roman" w:hAnsi="Times New Roman" w:cs="Times New Roman"/>
          <w:u w:val="single"/>
        </w:rPr>
        <w:t xml:space="preserve">potentiel </w:t>
      </w:r>
      <w:r w:rsidRPr="00EB7994">
        <w:rPr>
          <w:rFonts w:ascii="Times New Roman" w:hAnsi="Times New Roman" w:cs="Times New Roman"/>
        </w:rPr>
        <w:t>de trésorerie sur les opérations liées au cœur de métier de l’entreprise.</w:t>
      </w:r>
    </w:p>
    <w:p w:rsidR="004E7B76" w:rsidRPr="00EB7994" w:rsidRDefault="004E7B76" w:rsidP="00C326F9">
      <w:pPr>
        <w:spacing w:after="0" w:line="240" w:lineRule="auto"/>
        <w:jc w:val="both"/>
        <w:rPr>
          <w:rFonts w:ascii="Times New Roman" w:hAnsi="Times New Roman" w:cs="Times New Roman"/>
          <w:b/>
          <w:bCs/>
        </w:rPr>
      </w:pPr>
    </w:p>
    <w:p w:rsidR="004E7B76" w:rsidRPr="00EB7994" w:rsidRDefault="004E7B76" w:rsidP="00C326F9">
      <w:pPr>
        <w:pStyle w:val="Paragraphedeliste"/>
        <w:numPr>
          <w:ilvl w:val="0"/>
          <w:numId w:val="1"/>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Procéder au calcul de la capacité d’autofinancement (CAF) pour l’exercice 2015.</w:t>
      </w:r>
    </w:p>
    <w:p w:rsidR="004E7B76" w:rsidRPr="00EB7994" w:rsidRDefault="004E7B76" w:rsidP="00C326F9">
      <w:pPr>
        <w:spacing w:after="0" w:line="240" w:lineRule="auto"/>
        <w:jc w:val="both"/>
        <w:rPr>
          <w:rFonts w:ascii="Times New Roman" w:hAnsi="Times New Roman" w:cs="Times New Roman"/>
        </w:rPr>
      </w:pPr>
      <w:r w:rsidRPr="00EB7994">
        <w:rPr>
          <w:rFonts w:ascii="Times New Roman" w:hAnsi="Times New Roman" w:cs="Times New Roman"/>
        </w:rPr>
        <w:t xml:space="preserve">Méthode </w:t>
      </w:r>
      <w:r w:rsidRPr="00EB7994">
        <w:rPr>
          <w:rFonts w:ascii="Times New Roman" w:hAnsi="Times New Roman" w:cs="Times New Roman"/>
          <w:u w:val="single"/>
        </w:rPr>
        <w:t>soustractive</w:t>
      </w:r>
      <w:r w:rsidRPr="00EB7994">
        <w:rPr>
          <w:rFonts w:ascii="Times New Roman" w:hAnsi="Times New Roman" w:cs="Times New Roman"/>
        </w:rPr>
        <w:t> : Par l’EBE = 453 301 + 6 467 – 271 221 + 808 – 15 110 – 161 + 1 708 – 5 642 = 170 150</w:t>
      </w:r>
    </w:p>
    <w:p w:rsidR="004E7B76" w:rsidRPr="00EB7994" w:rsidRDefault="004E7B76" w:rsidP="00C326F9">
      <w:pPr>
        <w:spacing w:after="0" w:line="240" w:lineRule="auto"/>
        <w:jc w:val="both"/>
        <w:rPr>
          <w:rFonts w:ascii="Times New Roman" w:hAnsi="Times New Roman" w:cs="Times New Roman"/>
        </w:rPr>
      </w:pPr>
      <w:r w:rsidRPr="00EB7994">
        <w:rPr>
          <w:rFonts w:ascii="Times New Roman" w:hAnsi="Times New Roman" w:cs="Times New Roman"/>
        </w:rPr>
        <w:t xml:space="preserve">Méthode </w:t>
      </w:r>
      <w:r w:rsidRPr="00EB7994">
        <w:rPr>
          <w:rFonts w:ascii="Times New Roman" w:hAnsi="Times New Roman" w:cs="Times New Roman"/>
          <w:u w:val="single"/>
        </w:rPr>
        <w:t>additive</w:t>
      </w:r>
      <w:r w:rsidRPr="00EB7994">
        <w:rPr>
          <w:rFonts w:ascii="Times New Roman" w:hAnsi="Times New Roman" w:cs="Times New Roman"/>
        </w:rPr>
        <w:t> : Par le résultat = 13 536 + 154 441 + 1 338 – 4 000 + 4 835 = 170 150</w:t>
      </w:r>
    </w:p>
    <w:p w:rsidR="004E7B76" w:rsidRPr="00EB7994" w:rsidRDefault="004E7B76" w:rsidP="00C326F9">
      <w:pPr>
        <w:spacing w:after="0" w:line="240" w:lineRule="auto"/>
        <w:jc w:val="both"/>
        <w:rPr>
          <w:rFonts w:ascii="Times New Roman" w:hAnsi="Times New Roman" w:cs="Times New Roman"/>
        </w:rPr>
      </w:pPr>
    </w:p>
    <w:p w:rsidR="004E7B76" w:rsidRPr="00EB7994" w:rsidRDefault="004E7B76" w:rsidP="00AA7BD8">
      <w:pPr>
        <w:pStyle w:val="Paragraphedeliste"/>
        <w:numPr>
          <w:ilvl w:val="0"/>
          <w:numId w:val="1"/>
        </w:numPr>
        <w:spacing w:after="0" w:line="240" w:lineRule="auto"/>
        <w:jc w:val="both"/>
        <w:rPr>
          <w:rFonts w:ascii="Times New Roman" w:hAnsi="Times New Roman" w:cs="Times New Roman"/>
          <w:b/>
          <w:bCs/>
        </w:rPr>
      </w:pPr>
      <w:r w:rsidRPr="00EB7994">
        <w:rPr>
          <w:rFonts w:ascii="Times New Roman" w:hAnsi="Times New Roman" w:cs="Times New Roman"/>
          <w:b/>
          <w:bCs/>
        </w:rPr>
        <w:t>Indiquer la similitude et la différence d’approche entre le tableau de financement et les tableaux de flux de trésorerie.</w:t>
      </w:r>
    </w:p>
    <w:p w:rsidR="004E7B76" w:rsidRPr="00EB7994" w:rsidRDefault="004E7B76" w:rsidP="00AA7BD8">
      <w:pPr>
        <w:spacing w:after="0" w:line="240" w:lineRule="auto"/>
        <w:jc w:val="both"/>
        <w:rPr>
          <w:rFonts w:ascii="Times New Roman" w:hAnsi="Times New Roman" w:cs="Times New Roman"/>
        </w:rPr>
      </w:pPr>
      <w:r w:rsidRPr="00EB7994">
        <w:rPr>
          <w:rFonts w:ascii="Times New Roman" w:hAnsi="Times New Roman" w:cs="Times New Roman"/>
        </w:rPr>
        <w:t>Il s’agit de retrouver et comprendre quelle que soit l’approche comment la  trésorerie a varié entre deux exercices comptables.</w:t>
      </w:r>
    </w:p>
    <w:p w:rsidR="004E7B76" w:rsidRPr="00EB7994" w:rsidRDefault="004E7B76" w:rsidP="00AA7BD8">
      <w:pPr>
        <w:spacing w:after="0" w:line="240" w:lineRule="auto"/>
        <w:jc w:val="both"/>
        <w:rPr>
          <w:rFonts w:ascii="Times New Roman" w:hAnsi="Times New Roman" w:cs="Times New Roman"/>
        </w:rPr>
      </w:pPr>
      <w:r w:rsidRPr="00EB7994">
        <w:rPr>
          <w:rFonts w:ascii="Times New Roman" w:hAnsi="Times New Roman" w:cs="Times New Roman"/>
        </w:rPr>
        <w:t>Néanmoins, la différence porte sur la nature du flux :</w:t>
      </w:r>
    </w:p>
    <w:p w:rsidR="004E7B76" w:rsidRPr="00EB7994" w:rsidRDefault="004E7B76" w:rsidP="00AA7BD8">
      <w:pPr>
        <w:pStyle w:val="Paragraphedeliste"/>
        <w:numPr>
          <w:ilvl w:val="0"/>
          <w:numId w:val="33"/>
        </w:numPr>
        <w:spacing w:after="0" w:line="240" w:lineRule="auto"/>
        <w:jc w:val="both"/>
        <w:rPr>
          <w:rFonts w:ascii="Times New Roman" w:hAnsi="Times New Roman" w:cs="Times New Roman"/>
        </w:rPr>
      </w:pPr>
      <w:r w:rsidRPr="00EB7994">
        <w:rPr>
          <w:rFonts w:ascii="Times New Roman" w:hAnsi="Times New Roman" w:cs="Times New Roman"/>
        </w:rPr>
        <w:t>le tableau de financement PCG repose sur les variations de flux de fonds.</w:t>
      </w:r>
    </w:p>
    <w:p w:rsidR="004E7B76" w:rsidRPr="00EB7994" w:rsidRDefault="004E7B76" w:rsidP="00AA7BD8">
      <w:pPr>
        <w:pStyle w:val="Paragraphedeliste"/>
        <w:numPr>
          <w:ilvl w:val="0"/>
          <w:numId w:val="33"/>
        </w:numPr>
        <w:spacing w:after="0" w:line="240" w:lineRule="auto"/>
        <w:jc w:val="both"/>
        <w:rPr>
          <w:rFonts w:ascii="Times New Roman" w:hAnsi="Times New Roman" w:cs="Times New Roman"/>
        </w:rPr>
      </w:pPr>
      <w:r w:rsidRPr="00EB7994">
        <w:rPr>
          <w:rFonts w:ascii="Times New Roman" w:hAnsi="Times New Roman" w:cs="Times New Roman"/>
        </w:rPr>
        <w:t>le tableau de flux de trésorerie (CDB et OEC) reposent sur les variations de flux de trésorerie.</w:t>
      </w:r>
    </w:p>
    <w:p w:rsidR="004E7B76" w:rsidRPr="00EB7994" w:rsidRDefault="004E7B76" w:rsidP="005010ED">
      <w:pPr>
        <w:pStyle w:val="Sansinterligne"/>
      </w:pPr>
      <w:r w:rsidRPr="00EB7994">
        <w:br w:type="page"/>
      </w:r>
    </w:p>
    <w:p w:rsidR="004E7B76" w:rsidRPr="00EB7994" w:rsidRDefault="004E7B76" w:rsidP="00AA7BD8">
      <w:pPr>
        <w:pStyle w:val="Paragraphedeliste"/>
        <w:numPr>
          <w:ilvl w:val="0"/>
          <w:numId w:val="1"/>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Compléter le tableau de flux de trésorerie de l’ordre des experts-comptables (OEC) pour l’exercice 2015 (annexe B à rendre avec la copie).</w:t>
      </w:r>
    </w:p>
    <w:p w:rsidR="004E7B76" w:rsidRPr="00EB7994" w:rsidRDefault="004E7B76" w:rsidP="00EC69BB">
      <w:pPr>
        <w:spacing w:after="0" w:line="240" w:lineRule="auto"/>
        <w:jc w:val="both"/>
        <w:rPr>
          <w:rFonts w:ascii="Times New Roman" w:hAnsi="Times New Roman" w:cs="Times New Roman"/>
          <w:b/>
          <w:bCs/>
        </w:rPr>
      </w:pPr>
    </w:p>
    <w:p w:rsidR="004E7B76" w:rsidRPr="00EB7994" w:rsidRDefault="004E7B76" w:rsidP="007E2634">
      <w:pPr>
        <w:spacing w:after="120"/>
        <w:ind w:left="357"/>
        <w:jc w:val="both"/>
        <w:rPr>
          <w:rFonts w:ascii="Times New Roman" w:hAnsi="Times New Roman" w:cs="Times New Roman"/>
          <w:b/>
          <w:bCs/>
        </w:rPr>
      </w:pPr>
      <w:r w:rsidRPr="00EB7994">
        <w:rPr>
          <w:rFonts w:ascii="Times New Roman" w:hAnsi="Times New Roman" w:cs="Times New Roman"/>
          <w:b/>
          <w:bCs/>
        </w:rPr>
        <w:t xml:space="preserve"> (Voir Tableau de flux ci-après)</w:t>
      </w:r>
    </w:p>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Calcul préliminaires :</w:t>
      </w:r>
    </w:p>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Variation du BFR lié à l’activité (en valeurs nettes):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7"/>
        <w:gridCol w:w="1151"/>
        <w:gridCol w:w="1134"/>
        <w:gridCol w:w="1134"/>
      </w:tblGrid>
      <w:tr w:rsidR="004E7B76" w:rsidRPr="00EB7994">
        <w:tc>
          <w:tcPr>
            <w:tcW w:w="4287" w:type="dxa"/>
            <w:vAlign w:val="center"/>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Postes</w:t>
            </w:r>
          </w:p>
        </w:tc>
        <w:tc>
          <w:tcPr>
            <w:tcW w:w="1151"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2014</w:t>
            </w:r>
          </w:p>
        </w:tc>
        <w:tc>
          <w:tcPr>
            <w:tcW w:w="1134"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2015</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Stocks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5 010</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5 980</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Clients et comptes rattachés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43 262</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64 178</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Autres créances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16 322</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24 508</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CCA</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8 041</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12 756</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pStyle w:val="Paragraphedeliste"/>
              <w:numPr>
                <w:ilvl w:val="0"/>
                <w:numId w:val="25"/>
              </w:numPr>
              <w:spacing w:after="120" w:line="240" w:lineRule="auto"/>
              <w:ind w:left="210" w:hanging="210"/>
              <w:jc w:val="both"/>
              <w:rPr>
                <w:rFonts w:ascii="Times New Roman" w:hAnsi="Times New Roman" w:cs="Times New Roman"/>
              </w:rPr>
            </w:pPr>
            <w:r w:rsidRPr="00EB7994">
              <w:rPr>
                <w:rFonts w:ascii="Times New Roman" w:hAnsi="Times New Roman" w:cs="Times New Roman"/>
              </w:rPr>
              <w:t>Avances et acomptes reçus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-17 051</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-13 529</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pStyle w:val="Paragraphedeliste"/>
              <w:numPr>
                <w:ilvl w:val="0"/>
                <w:numId w:val="25"/>
              </w:numPr>
              <w:spacing w:after="120" w:line="240" w:lineRule="auto"/>
              <w:ind w:left="210" w:hanging="210"/>
              <w:jc w:val="both"/>
              <w:rPr>
                <w:rFonts w:ascii="Times New Roman" w:hAnsi="Times New Roman" w:cs="Times New Roman"/>
              </w:rPr>
            </w:pPr>
            <w:r w:rsidRPr="00EB7994">
              <w:rPr>
                <w:rFonts w:ascii="Times New Roman" w:hAnsi="Times New Roman" w:cs="Times New Roman"/>
              </w:rPr>
              <w:t>Dettes fournisseurs et comptes rattachés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-180 512</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-175 163</w:t>
            </w:r>
          </w:p>
        </w:tc>
        <w:tc>
          <w:tcPr>
            <w:tcW w:w="1134" w:type="dxa"/>
            <w:tcBorders>
              <w:top w:val="nil"/>
              <w:bottom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 Dettes fiscales et sociales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-112 712</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-124 768</w:t>
            </w:r>
          </w:p>
        </w:tc>
        <w:tc>
          <w:tcPr>
            <w:tcW w:w="1134" w:type="dxa"/>
            <w:tcBorders>
              <w:top w:val="nil"/>
              <w:right w:val="nil"/>
            </w:tcBorders>
          </w:tcPr>
          <w:p w:rsidR="004E7B76" w:rsidRPr="00EB7994" w:rsidRDefault="004E7B76" w:rsidP="00266F2A">
            <w:pPr>
              <w:spacing w:after="120" w:line="240" w:lineRule="auto"/>
              <w:jc w:val="both"/>
              <w:rPr>
                <w:rFonts w:ascii="Times New Roman" w:hAnsi="Times New Roman" w:cs="Times New Roman"/>
              </w:rPr>
            </w:pP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 ICNE sur dettes financières</w:t>
            </w:r>
          </w:p>
        </w:tc>
        <w:tc>
          <w:tcPr>
            <w:tcW w:w="1151"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-3 607</w:t>
            </w:r>
          </w:p>
        </w:tc>
        <w:tc>
          <w:tcPr>
            <w:tcW w:w="1134" w:type="dxa"/>
          </w:tcPr>
          <w:p w:rsidR="004E7B76" w:rsidRPr="00EB7994" w:rsidRDefault="004E7B76" w:rsidP="00266F2A">
            <w:pPr>
              <w:spacing w:after="120" w:line="240" w:lineRule="auto"/>
              <w:ind w:right="115"/>
              <w:jc w:val="right"/>
              <w:rPr>
                <w:rFonts w:ascii="Times New Roman" w:hAnsi="Times New Roman" w:cs="Times New Roman"/>
              </w:rPr>
            </w:pPr>
            <w:r w:rsidRPr="00EB7994">
              <w:rPr>
                <w:rFonts w:ascii="Times New Roman" w:hAnsi="Times New Roman" w:cs="Times New Roman"/>
              </w:rPr>
              <w:t>-2 778</w:t>
            </w:r>
          </w:p>
        </w:tc>
        <w:tc>
          <w:tcPr>
            <w:tcW w:w="1134" w:type="dxa"/>
          </w:tcPr>
          <w:p w:rsidR="004E7B76" w:rsidRPr="00EB7994" w:rsidRDefault="004E7B76" w:rsidP="00266F2A">
            <w:pPr>
              <w:spacing w:after="120" w:line="240" w:lineRule="auto"/>
              <w:jc w:val="both"/>
              <w:rPr>
                <w:rFonts w:ascii="Times New Roman" w:hAnsi="Times New Roman" w:cs="Times New Roman"/>
                <w:b/>
                <w:bCs/>
              </w:rPr>
            </w:pPr>
            <w:r w:rsidRPr="00EB7994">
              <w:rPr>
                <w:rFonts w:ascii="Times New Roman" w:hAnsi="Times New Roman" w:cs="Times New Roman"/>
                <w:b/>
                <w:bCs/>
              </w:rPr>
              <w:t>Variation</w:t>
            </w: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b/>
                <w:bCs/>
              </w:rPr>
            </w:pPr>
            <w:r w:rsidRPr="00EB7994">
              <w:rPr>
                <w:rFonts w:ascii="Times New Roman" w:hAnsi="Times New Roman" w:cs="Times New Roman"/>
                <w:b/>
                <w:bCs/>
              </w:rPr>
              <w:t>BFR lié à l’activité</w:t>
            </w:r>
          </w:p>
        </w:tc>
        <w:tc>
          <w:tcPr>
            <w:tcW w:w="1151" w:type="dxa"/>
          </w:tcPr>
          <w:p w:rsidR="004E7B76" w:rsidRPr="00EB7994" w:rsidRDefault="004E7B76" w:rsidP="00266F2A">
            <w:pPr>
              <w:spacing w:after="120" w:line="240" w:lineRule="auto"/>
              <w:ind w:right="115"/>
              <w:jc w:val="right"/>
              <w:rPr>
                <w:rFonts w:ascii="Times New Roman" w:hAnsi="Times New Roman" w:cs="Times New Roman"/>
                <w:b/>
                <w:bCs/>
              </w:rPr>
            </w:pPr>
            <w:r w:rsidRPr="00EB7994">
              <w:rPr>
                <w:rFonts w:ascii="Times New Roman" w:hAnsi="Times New Roman" w:cs="Times New Roman"/>
                <w:b/>
                <w:bCs/>
              </w:rPr>
              <w:t>-241 247</w:t>
            </w:r>
          </w:p>
        </w:tc>
        <w:tc>
          <w:tcPr>
            <w:tcW w:w="1134" w:type="dxa"/>
          </w:tcPr>
          <w:p w:rsidR="004E7B76" w:rsidRPr="00EB7994" w:rsidRDefault="004E7B76" w:rsidP="00266F2A">
            <w:pPr>
              <w:spacing w:after="120" w:line="240" w:lineRule="auto"/>
              <w:ind w:right="115"/>
              <w:jc w:val="right"/>
              <w:rPr>
                <w:rFonts w:ascii="Times New Roman" w:hAnsi="Times New Roman" w:cs="Times New Roman"/>
                <w:b/>
                <w:bCs/>
              </w:rPr>
            </w:pPr>
            <w:r w:rsidRPr="00EB7994">
              <w:rPr>
                <w:rFonts w:ascii="Times New Roman" w:hAnsi="Times New Roman" w:cs="Times New Roman"/>
                <w:b/>
                <w:bCs/>
              </w:rPr>
              <w:t>-208 816</w:t>
            </w:r>
          </w:p>
        </w:tc>
        <w:tc>
          <w:tcPr>
            <w:tcW w:w="1134" w:type="dxa"/>
          </w:tcPr>
          <w:p w:rsidR="004E7B76" w:rsidRPr="00EB7994" w:rsidRDefault="004E7B76" w:rsidP="00266F2A">
            <w:pPr>
              <w:spacing w:after="120" w:line="240" w:lineRule="auto"/>
              <w:jc w:val="right"/>
              <w:rPr>
                <w:rFonts w:ascii="Times New Roman" w:hAnsi="Times New Roman" w:cs="Times New Roman"/>
                <w:b/>
                <w:bCs/>
              </w:rPr>
            </w:pPr>
            <w:r w:rsidRPr="00EB7994">
              <w:rPr>
                <w:rFonts w:ascii="Times New Roman" w:hAnsi="Times New Roman" w:cs="Times New Roman"/>
                <w:b/>
                <w:bCs/>
              </w:rPr>
              <w:t>32 431</w:t>
            </w:r>
          </w:p>
        </w:tc>
      </w:tr>
    </w:tbl>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 xml:space="preserve"> </w:t>
      </w:r>
    </w:p>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Variation du BFR lié à l’investissement :</w:t>
      </w:r>
    </w:p>
    <w:tbl>
      <w:tblPr>
        <w:tblW w:w="76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7"/>
        <w:gridCol w:w="1134"/>
        <w:gridCol w:w="1134"/>
        <w:gridCol w:w="1134"/>
      </w:tblGrid>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p>
        </w:tc>
        <w:tc>
          <w:tcPr>
            <w:tcW w:w="1134"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2014</w:t>
            </w:r>
          </w:p>
        </w:tc>
        <w:tc>
          <w:tcPr>
            <w:tcW w:w="1134"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2015</w:t>
            </w:r>
          </w:p>
        </w:tc>
        <w:tc>
          <w:tcPr>
            <w:tcW w:w="1134"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Variation</w:t>
            </w:r>
          </w:p>
        </w:tc>
      </w:tr>
      <w:tr w:rsidR="004E7B76" w:rsidRPr="00EB7994">
        <w:tc>
          <w:tcPr>
            <w:tcW w:w="4287"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Dettes sur immobilisations</w:t>
            </w:r>
          </w:p>
        </w:tc>
        <w:tc>
          <w:tcPr>
            <w:tcW w:w="1134" w:type="dxa"/>
          </w:tcPr>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0</w:t>
            </w:r>
          </w:p>
        </w:tc>
        <w:tc>
          <w:tcPr>
            <w:tcW w:w="1134" w:type="dxa"/>
          </w:tcPr>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18 683</w:t>
            </w:r>
          </w:p>
        </w:tc>
        <w:tc>
          <w:tcPr>
            <w:tcW w:w="1134" w:type="dxa"/>
          </w:tcPr>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18 683</w:t>
            </w:r>
          </w:p>
        </w:tc>
      </w:tr>
    </w:tbl>
    <w:p w:rsidR="004E7B76" w:rsidRPr="00EB7994" w:rsidRDefault="004E7B76" w:rsidP="007E2634">
      <w:pPr>
        <w:spacing w:after="120"/>
        <w:ind w:left="357"/>
        <w:jc w:val="both"/>
        <w:rPr>
          <w:rFonts w:ascii="Times New Roman" w:hAnsi="Times New Roman" w:cs="Times New Roman"/>
        </w:rPr>
      </w:pPr>
    </w:p>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Augmentation de capital en numéraire : voit variation du poste « Capital social » entre 2014 et 2015.</w:t>
      </w:r>
    </w:p>
    <w:p w:rsidR="004E7B76" w:rsidRPr="00EB7994" w:rsidRDefault="004E7B76" w:rsidP="007E2634">
      <w:pPr>
        <w:spacing w:after="120"/>
        <w:ind w:left="357"/>
        <w:jc w:val="both"/>
        <w:rPr>
          <w:rFonts w:ascii="Times New Roman" w:hAnsi="Times New Roman" w:cs="Times New Roman"/>
        </w:rPr>
      </w:pPr>
      <w:r w:rsidRPr="00EB7994">
        <w:rPr>
          <w:rFonts w:ascii="Times New Roman" w:hAnsi="Times New Roman" w:cs="Times New Roman"/>
        </w:rPr>
        <w:t>Remboursement des dettes financières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116"/>
        <w:gridCol w:w="1243"/>
        <w:gridCol w:w="1768"/>
        <w:gridCol w:w="1169"/>
      </w:tblGrid>
      <w:tr w:rsidR="004E7B76" w:rsidRPr="00EB7994">
        <w:tc>
          <w:tcPr>
            <w:tcW w:w="3012" w:type="dxa"/>
          </w:tcPr>
          <w:p w:rsidR="004E7B76" w:rsidRPr="00EB7994" w:rsidRDefault="004E7B76" w:rsidP="00266F2A">
            <w:pPr>
              <w:spacing w:after="120" w:line="240" w:lineRule="auto"/>
              <w:jc w:val="both"/>
              <w:rPr>
                <w:rFonts w:ascii="Times New Roman" w:hAnsi="Times New Roman" w:cs="Times New Roman"/>
              </w:rPr>
            </w:pPr>
          </w:p>
        </w:tc>
        <w:tc>
          <w:tcPr>
            <w:tcW w:w="1116"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début exercice</w:t>
            </w:r>
          </w:p>
        </w:tc>
        <w:tc>
          <w:tcPr>
            <w:tcW w:w="1181"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Nouvelles dettes financières</w:t>
            </w:r>
          </w:p>
        </w:tc>
        <w:tc>
          <w:tcPr>
            <w:tcW w:w="1658"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Remboursement de dettes financières</w:t>
            </w:r>
          </w:p>
        </w:tc>
        <w:tc>
          <w:tcPr>
            <w:tcW w:w="1132" w:type="dxa"/>
          </w:tcPr>
          <w:p w:rsidR="004E7B76" w:rsidRPr="00EB7994" w:rsidRDefault="004E7B76" w:rsidP="00266F2A">
            <w:pPr>
              <w:spacing w:after="120" w:line="240" w:lineRule="auto"/>
              <w:jc w:val="center"/>
              <w:rPr>
                <w:rFonts w:ascii="Times New Roman" w:hAnsi="Times New Roman" w:cs="Times New Roman"/>
                <w:b/>
                <w:bCs/>
              </w:rPr>
            </w:pPr>
            <w:r w:rsidRPr="00EB7994">
              <w:rPr>
                <w:rFonts w:ascii="Times New Roman" w:hAnsi="Times New Roman" w:cs="Times New Roman"/>
                <w:b/>
                <w:bCs/>
              </w:rPr>
              <w:t>Montant fin d’exercice</w:t>
            </w:r>
          </w:p>
        </w:tc>
      </w:tr>
      <w:tr w:rsidR="004E7B76" w:rsidRPr="00EB7994">
        <w:tc>
          <w:tcPr>
            <w:tcW w:w="3012"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Emprunts et dettes auprès des établissements de crédit</w:t>
            </w:r>
          </w:p>
        </w:tc>
        <w:tc>
          <w:tcPr>
            <w:tcW w:w="1116" w:type="dxa"/>
          </w:tcPr>
          <w:p w:rsidR="004E7B76" w:rsidRPr="00EB7994" w:rsidRDefault="004E7B76" w:rsidP="00266F2A">
            <w:pPr>
              <w:spacing w:after="0" w:line="240" w:lineRule="auto"/>
              <w:jc w:val="right"/>
              <w:rPr>
                <w:rFonts w:ascii="Times New Roman" w:hAnsi="Times New Roman" w:cs="Times New Roman"/>
              </w:rPr>
            </w:pPr>
          </w:p>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674 749</w:t>
            </w:r>
          </w:p>
        </w:tc>
        <w:tc>
          <w:tcPr>
            <w:tcW w:w="1181" w:type="dxa"/>
          </w:tcPr>
          <w:p w:rsidR="004E7B76" w:rsidRPr="00EB7994" w:rsidRDefault="004E7B76" w:rsidP="00266F2A">
            <w:pPr>
              <w:spacing w:after="120" w:line="240" w:lineRule="auto"/>
              <w:jc w:val="both"/>
              <w:rPr>
                <w:rFonts w:ascii="Times New Roman" w:hAnsi="Times New Roman" w:cs="Times New Roman"/>
              </w:rPr>
            </w:pPr>
          </w:p>
        </w:tc>
        <w:tc>
          <w:tcPr>
            <w:tcW w:w="1658" w:type="dxa"/>
          </w:tcPr>
          <w:p w:rsidR="004E7B76" w:rsidRPr="00EB7994" w:rsidRDefault="004E7B76" w:rsidP="00266F2A">
            <w:pPr>
              <w:spacing w:after="120" w:line="240" w:lineRule="auto"/>
              <w:jc w:val="both"/>
              <w:rPr>
                <w:rFonts w:ascii="Times New Roman" w:hAnsi="Times New Roman" w:cs="Times New Roman"/>
              </w:rPr>
            </w:pPr>
          </w:p>
        </w:tc>
        <w:tc>
          <w:tcPr>
            <w:tcW w:w="1132" w:type="dxa"/>
          </w:tcPr>
          <w:p w:rsidR="004E7B76" w:rsidRPr="00EB7994" w:rsidRDefault="004E7B76" w:rsidP="00266F2A">
            <w:pPr>
              <w:spacing w:after="0" w:line="240" w:lineRule="auto"/>
              <w:jc w:val="right"/>
              <w:rPr>
                <w:rFonts w:ascii="Times New Roman" w:hAnsi="Times New Roman" w:cs="Times New Roman"/>
              </w:rPr>
            </w:pPr>
          </w:p>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579 125</w:t>
            </w:r>
          </w:p>
        </w:tc>
      </w:tr>
      <w:tr w:rsidR="004E7B76" w:rsidRPr="00EB7994">
        <w:tc>
          <w:tcPr>
            <w:tcW w:w="3012"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A déduire : ICNE sur dettes financières</w:t>
            </w:r>
          </w:p>
        </w:tc>
        <w:tc>
          <w:tcPr>
            <w:tcW w:w="1116" w:type="dxa"/>
          </w:tcPr>
          <w:p w:rsidR="004E7B76" w:rsidRPr="00EB7994" w:rsidRDefault="004E7B76" w:rsidP="00266F2A">
            <w:pPr>
              <w:spacing w:after="0" w:line="240" w:lineRule="auto"/>
              <w:jc w:val="right"/>
              <w:rPr>
                <w:rFonts w:ascii="Times New Roman" w:hAnsi="Times New Roman" w:cs="Times New Roman"/>
              </w:rPr>
            </w:pPr>
          </w:p>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-3 607</w:t>
            </w:r>
          </w:p>
        </w:tc>
        <w:tc>
          <w:tcPr>
            <w:tcW w:w="1181" w:type="dxa"/>
          </w:tcPr>
          <w:p w:rsidR="004E7B76" w:rsidRPr="00EB7994" w:rsidRDefault="004E7B76" w:rsidP="00266F2A">
            <w:pPr>
              <w:spacing w:after="120" w:line="240" w:lineRule="auto"/>
              <w:jc w:val="both"/>
              <w:rPr>
                <w:rFonts w:ascii="Times New Roman" w:hAnsi="Times New Roman" w:cs="Times New Roman"/>
              </w:rPr>
            </w:pPr>
          </w:p>
        </w:tc>
        <w:tc>
          <w:tcPr>
            <w:tcW w:w="1658" w:type="dxa"/>
          </w:tcPr>
          <w:p w:rsidR="004E7B76" w:rsidRPr="00EB7994" w:rsidRDefault="004E7B76" w:rsidP="00266F2A">
            <w:pPr>
              <w:spacing w:after="120" w:line="240" w:lineRule="auto"/>
              <w:jc w:val="both"/>
              <w:rPr>
                <w:rFonts w:ascii="Times New Roman" w:hAnsi="Times New Roman" w:cs="Times New Roman"/>
              </w:rPr>
            </w:pPr>
          </w:p>
        </w:tc>
        <w:tc>
          <w:tcPr>
            <w:tcW w:w="1132" w:type="dxa"/>
          </w:tcPr>
          <w:p w:rsidR="004E7B76" w:rsidRPr="00EB7994" w:rsidRDefault="004E7B76" w:rsidP="00266F2A">
            <w:pPr>
              <w:spacing w:after="0" w:line="240" w:lineRule="auto"/>
              <w:jc w:val="right"/>
              <w:rPr>
                <w:rFonts w:ascii="Times New Roman" w:hAnsi="Times New Roman" w:cs="Times New Roman"/>
              </w:rPr>
            </w:pPr>
          </w:p>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-2 778</w:t>
            </w:r>
          </w:p>
        </w:tc>
      </w:tr>
      <w:tr w:rsidR="004E7B76" w:rsidRPr="00EB7994">
        <w:tc>
          <w:tcPr>
            <w:tcW w:w="3012"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Dettes financières stables</w:t>
            </w:r>
          </w:p>
        </w:tc>
        <w:tc>
          <w:tcPr>
            <w:tcW w:w="1116" w:type="dxa"/>
          </w:tcPr>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671 142</w:t>
            </w:r>
          </w:p>
        </w:tc>
        <w:tc>
          <w:tcPr>
            <w:tcW w:w="1181" w:type="dxa"/>
          </w:tcPr>
          <w:p w:rsidR="004E7B76" w:rsidRPr="00EB7994" w:rsidRDefault="004E7B76" w:rsidP="00266F2A">
            <w:pPr>
              <w:spacing w:after="120" w:line="240" w:lineRule="auto"/>
              <w:jc w:val="both"/>
              <w:rPr>
                <w:rFonts w:ascii="Times New Roman" w:hAnsi="Times New Roman" w:cs="Times New Roman"/>
              </w:rPr>
            </w:pPr>
            <w:r w:rsidRPr="00EB7994">
              <w:rPr>
                <w:rFonts w:ascii="Times New Roman" w:hAnsi="Times New Roman" w:cs="Times New Roman"/>
              </w:rPr>
              <w:t>0 (énoncé)</w:t>
            </w:r>
          </w:p>
        </w:tc>
        <w:tc>
          <w:tcPr>
            <w:tcW w:w="1658" w:type="dxa"/>
          </w:tcPr>
          <w:p w:rsidR="004E7B76" w:rsidRPr="00EB7994" w:rsidRDefault="004E7B76" w:rsidP="00266F2A">
            <w:pPr>
              <w:spacing w:after="120" w:line="240" w:lineRule="auto"/>
              <w:jc w:val="both"/>
              <w:rPr>
                <w:rFonts w:ascii="Times New Roman" w:hAnsi="Times New Roman" w:cs="Times New Roman"/>
                <w:b/>
                <w:bCs/>
              </w:rPr>
            </w:pPr>
            <w:r w:rsidRPr="00EB7994">
              <w:rPr>
                <w:rFonts w:ascii="Times New Roman" w:hAnsi="Times New Roman" w:cs="Times New Roman"/>
                <w:b/>
                <w:bCs/>
              </w:rPr>
              <w:t>Par différence : 94 795</w:t>
            </w:r>
          </w:p>
        </w:tc>
        <w:tc>
          <w:tcPr>
            <w:tcW w:w="1132" w:type="dxa"/>
          </w:tcPr>
          <w:p w:rsidR="004E7B76" w:rsidRPr="00EB7994" w:rsidRDefault="004E7B76" w:rsidP="00266F2A">
            <w:pPr>
              <w:spacing w:after="120" w:line="240" w:lineRule="auto"/>
              <w:jc w:val="right"/>
              <w:rPr>
                <w:rFonts w:ascii="Times New Roman" w:hAnsi="Times New Roman" w:cs="Times New Roman"/>
              </w:rPr>
            </w:pPr>
            <w:r w:rsidRPr="00EB7994">
              <w:rPr>
                <w:rFonts w:ascii="Times New Roman" w:hAnsi="Times New Roman" w:cs="Times New Roman"/>
              </w:rPr>
              <w:t>576 347</w:t>
            </w:r>
          </w:p>
        </w:tc>
      </w:tr>
    </w:tbl>
    <w:p w:rsidR="004E7B76" w:rsidRPr="00EB7994" w:rsidRDefault="004E7B76" w:rsidP="00EC69BB">
      <w:pPr>
        <w:spacing w:after="120"/>
        <w:ind w:left="357"/>
        <w:jc w:val="both"/>
        <w:rPr>
          <w:rFonts w:ascii="Times New Roman" w:hAnsi="Times New Roman" w:cs="Times New Roman"/>
        </w:rPr>
      </w:pPr>
      <w:r w:rsidRPr="00EB7994">
        <w:rPr>
          <w:rFonts w:ascii="Times New Roman" w:hAnsi="Times New Roman" w:cs="Times New Roman"/>
        </w:rPr>
        <w:t xml:space="preserve"> Subventions d’investissement reçues :</w:t>
      </w:r>
    </w:p>
    <w:p w:rsidR="004E7B76" w:rsidRPr="00EB7994" w:rsidRDefault="004E7B76" w:rsidP="00E51569">
      <w:pPr>
        <w:tabs>
          <w:tab w:val="right" w:pos="3686"/>
        </w:tabs>
        <w:rPr>
          <w:rFonts w:ascii="Times New Roman" w:hAnsi="Times New Roman" w:cs="Times New Roman"/>
        </w:rPr>
      </w:pPr>
      <w:r w:rsidRPr="00EB7994">
        <w:rPr>
          <w:rFonts w:ascii="Times New Roman" w:hAnsi="Times New Roman" w:cs="Times New Roman"/>
        </w:rPr>
        <w:t xml:space="preserve">Montant au bilan 2015 : </w:t>
      </w:r>
      <w:r w:rsidRPr="00EB7994">
        <w:rPr>
          <w:rFonts w:ascii="Times New Roman" w:hAnsi="Times New Roman" w:cs="Times New Roman"/>
        </w:rPr>
        <w:tab/>
        <w:t>16 000</w:t>
      </w:r>
    </w:p>
    <w:p w:rsidR="004E7B76" w:rsidRPr="00EB7994" w:rsidRDefault="004E7B76" w:rsidP="00E51569">
      <w:pPr>
        <w:tabs>
          <w:tab w:val="right" w:pos="3686"/>
        </w:tabs>
        <w:rPr>
          <w:rFonts w:ascii="Times New Roman" w:hAnsi="Times New Roman" w:cs="Times New Roman"/>
        </w:rPr>
      </w:pPr>
      <w:r w:rsidRPr="00EB7994">
        <w:rPr>
          <w:rFonts w:ascii="Times New Roman" w:hAnsi="Times New Roman" w:cs="Times New Roman"/>
        </w:rPr>
        <w:t xml:space="preserve">+ QP virée au résultat en 2015 : </w:t>
      </w:r>
      <w:r w:rsidRPr="00EB7994">
        <w:rPr>
          <w:rFonts w:ascii="Times New Roman" w:hAnsi="Times New Roman" w:cs="Times New Roman"/>
        </w:rPr>
        <w:tab/>
        <w:t>4 000</w:t>
      </w:r>
    </w:p>
    <w:p w:rsidR="004E7B76" w:rsidRPr="00EB7994" w:rsidRDefault="004E7B76" w:rsidP="00E51569">
      <w:pPr>
        <w:tabs>
          <w:tab w:val="right" w:pos="3686"/>
        </w:tabs>
        <w:rPr>
          <w:rFonts w:ascii="Times New Roman" w:hAnsi="Times New Roman" w:cs="Times New Roman"/>
          <w:b/>
          <w:bCs/>
        </w:rPr>
      </w:pPr>
      <w:r w:rsidRPr="00EB7994">
        <w:rPr>
          <w:rFonts w:ascii="Times New Roman" w:hAnsi="Times New Roman" w:cs="Times New Roman"/>
          <w:b/>
          <w:bCs/>
        </w:rPr>
        <w:t xml:space="preserve">Total : </w:t>
      </w:r>
      <w:r w:rsidRPr="00EB7994">
        <w:rPr>
          <w:rFonts w:ascii="Times New Roman" w:hAnsi="Times New Roman" w:cs="Times New Roman"/>
          <w:b/>
          <w:bCs/>
        </w:rPr>
        <w:tab/>
        <w:t xml:space="preserve">20 000 </w:t>
      </w:r>
    </w:p>
    <w:p w:rsidR="004E7B76" w:rsidRPr="00EB7994" w:rsidRDefault="004E7B76" w:rsidP="00E51569">
      <w:pPr>
        <w:tabs>
          <w:tab w:val="right" w:pos="3686"/>
        </w:tabs>
        <w:rPr>
          <w:rFonts w:ascii="Times New Roman" w:hAnsi="Times New Roman" w:cs="Times New Roman"/>
          <w:b/>
          <w:bCs/>
        </w:rPr>
      </w:pPr>
      <w:r w:rsidRPr="00EB7994">
        <w:rPr>
          <w:rFonts w:ascii="Times New Roman" w:hAnsi="Times New Roman" w:cs="Times New Roman"/>
        </w:rPr>
        <w:lastRenderedPageBreak/>
        <w:t>Trésorerie à la clôture : disponibilités 80 688 + VMP disponibles 50 808 = 131 496</w:t>
      </w:r>
    </w:p>
    <w:p w:rsidR="004E7B76" w:rsidRPr="00EB7994" w:rsidRDefault="004E7B76" w:rsidP="00FB001F">
      <w:pPr>
        <w:tabs>
          <w:tab w:val="right" w:pos="3686"/>
        </w:tabs>
        <w:jc w:val="center"/>
        <w:rPr>
          <w:rFonts w:ascii="Times New Roman" w:hAnsi="Times New Roman" w:cs="Times New Roman"/>
          <w:b/>
          <w:bCs/>
        </w:rPr>
      </w:pPr>
      <w:r w:rsidRPr="00EB7994">
        <w:rPr>
          <w:rFonts w:ascii="Times New Roman" w:hAnsi="Times New Roman" w:cs="Times New Roman"/>
          <w:b/>
          <w:bCs/>
        </w:rPr>
        <w:t>Tableau de flux de trésorerie de l’OEC</w:t>
      </w:r>
    </w:p>
    <w:p w:rsidR="004E7B76" w:rsidRPr="00EB7994" w:rsidRDefault="004E7B76" w:rsidP="00E51569">
      <w:pPr>
        <w:tabs>
          <w:tab w:val="right" w:pos="3686"/>
        </w:tabs>
        <w:rPr>
          <w:rFonts w:ascii="Times New Roman" w:hAnsi="Times New Roman" w:cs="Times New Roman"/>
          <w:b/>
          <w:bCs/>
        </w:rPr>
      </w:pPr>
    </w:p>
    <w:tbl>
      <w:tblPr>
        <w:tblW w:w="89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56"/>
        <w:gridCol w:w="1275"/>
      </w:tblGrid>
      <w:tr w:rsidR="005010ED" w:rsidRPr="00EB7994" w:rsidTr="005010ED">
        <w:trPr>
          <w:trHeight w:val="564"/>
        </w:trPr>
        <w:tc>
          <w:tcPr>
            <w:tcW w:w="7656" w:type="dxa"/>
          </w:tcPr>
          <w:p w:rsidR="005010ED" w:rsidRPr="00EB7994" w:rsidRDefault="005010ED" w:rsidP="00F604D7">
            <w:pPr>
              <w:spacing w:after="0" w:line="240" w:lineRule="auto"/>
              <w:jc w:val="center"/>
              <w:rPr>
                <w:rFonts w:ascii="Times New Roman" w:hAnsi="Times New Roman" w:cs="Times New Roman"/>
                <w:b/>
                <w:bCs/>
              </w:rPr>
            </w:pPr>
          </w:p>
          <w:p w:rsidR="005010ED" w:rsidRPr="00EB7994" w:rsidRDefault="005010ED" w:rsidP="00F604D7">
            <w:pPr>
              <w:spacing w:after="0" w:line="240" w:lineRule="auto"/>
              <w:jc w:val="center"/>
              <w:rPr>
                <w:rFonts w:ascii="Times New Roman" w:hAnsi="Times New Roman" w:cs="Times New Roman"/>
                <w:b/>
                <w:bCs/>
              </w:rPr>
            </w:pPr>
          </w:p>
        </w:tc>
        <w:tc>
          <w:tcPr>
            <w:tcW w:w="1275" w:type="dxa"/>
          </w:tcPr>
          <w:p w:rsidR="005010ED" w:rsidRPr="00EB7994" w:rsidRDefault="005010ED" w:rsidP="00F604D7">
            <w:pPr>
              <w:spacing w:after="0" w:line="240" w:lineRule="auto"/>
              <w:jc w:val="center"/>
              <w:rPr>
                <w:rFonts w:ascii="Times New Roman" w:hAnsi="Times New Roman" w:cs="Times New Roman"/>
                <w:b/>
                <w:bCs/>
              </w:rPr>
            </w:pPr>
            <w:r w:rsidRPr="00EB7994">
              <w:rPr>
                <w:rFonts w:ascii="Times New Roman" w:hAnsi="Times New Roman" w:cs="Times New Roman"/>
                <w:b/>
                <w:bCs/>
              </w:rPr>
              <w:t>Exercice 2015</w:t>
            </w:r>
          </w:p>
        </w:tc>
      </w:tr>
      <w:tr w:rsidR="005010ED" w:rsidRPr="00EB7994" w:rsidTr="005010ED">
        <w:trPr>
          <w:trHeight w:val="2420"/>
        </w:trPr>
        <w:tc>
          <w:tcPr>
            <w:tcW w:w="7656" w:type="dxa"/>
            <w:vMerge w:val="restart"/>
          </w:tcPr>
          <w:p w:rsidR="005010ED" w:rsidRPr="00EB7994" w:rsidRDefault="005010ED" w:rsidP="00F604D7">
            <w:pPr>
              <w:spacing w:after="0" w:line="240" w:lineRule="auto"/>
              <w:rPr>
                <w:rFonts w:ascii="Times New Roman" w:hAnsi="Times New Roman" w:cs="Times New Roman"/>
                <w:b/>
                <w:bCs/>
              </w:rPr>
            </w:pPr>
            <w:r w:rsidRPr="00EB7994">
              <w:rPr>
                <w:rFonts w:ascii="Times New Roman" w:hAnsi="Times New Roman" w:cs="Times New Roman"/>
                <w:b/>
                <w:bCs/>
              </w:rPr>
              <w:t>Flux de trésorerie liés à l'activité</w:t>
            </w:r>
          </w:p>
          <w:p w:rsidR="005010ED" w:rsidRPr="00EB7994" w:rsidRDefault="005010ED" w:rsidP="00F604D7">
            <w:pPr>
              <w:spacing w:after="0" w:line="240" w:lineRule="auto"/>
              <w:rPr>
                <w:rFonts w:ascii="Times New Roman" w:hAnsi="Times New Roman" w:cs="Times New Roman"/>
                <w:b/>
                <w:bCs/>
              </w:rPr>
            </w:pPr>
          </w:p>
          <w:p w:rsidR="005010ED" w:rsidRPr="00EB7994" w:rsidRDefault="005010ED" w:rsidP="00F604D7">
            <w:pPr>
              <w:spacing w:after="0" w:line="240" w:lineRule="auto"/>
              <w:rPr>
                <w:rFonts w:ascii="Times New Roman" w:hAnsi="Times New Roman" w:cs="Times New Roman"/>
                <w:b/>
                <w:bCs/>
              </w:rPr>
            </w:pPr>
            <w:r w:rsidRPr="00EB7994">
              <w:rPr>
                <w:rFonts w:ascii="Times New Roman" w:hAnsi="Times New Roman" w:cs="Times New Roman"/>
              </w:rPr>
              <w:t xml:space="preserve">RESULTAT NET </w:t>
            </w:r>
            <w:r w:rsidRPr="00EB7994">
              <w:rPr>
                <w:rFonts w:ascii="Times New Roman" w:hAnsi="Times New Roman" w:cs="Times New Roman"/>
                <w:b/>
                <w:bCs/>
                <w:i/>
                <w:iCs/>
              </w:rPr>
              <w:t>Voir compte de résultat</w:t>
            </w:r>
          </w:p>
          <w:p w:rsidR="005010ED" w:rsidRPr="00EB7994" w:rsidRDefault="005010ED" w:rsidP="00F604D7">
            <w:pPr>
              <w:spacing w:after="0" w:line="240" w:lineRule="auto"/>
              <w:ind w:right="-533"/>
              <w:rPr>
                <w:rFonts w:ascii="Times New Roman" w:hAnsi="Times New Roman" w:cs="Times New Roman"/>
              </w:rPr>
            </w:pPr>
            <w:r w:rsidRPr="00EB7994">
              <w:rPr>
                <w:rFonts w:ascii="Times New Roman" w:hAnsi="Times New Roman" w:cs="Times New Roman"/>
              </w:rPr>
              <w:t>Élimination des charges et produits sans incidence sur la trésorerie ou non liés à l'activité</w:t>
            </w:r>
          </w:p>
          <w:p w:rsidR="005010ED" w:rsidRPr="00EB7994" w:rsidRDefault="005010ED" w:rsidP="00F604D7">
            <w:pPr>
              <w:tabs>
                <w:tab w:val="left" w:pos="1170"/>
              </w:tabs>
              <w:spacing w:after="0" w:line="240" w:lineRule="auto"/>
              <w:ind w:left="709" w:right="-533"/>
              <w:rPr>
                <w:rFonts w:ascii="Times New Roman" w:hAnsi="Times New Roman" w:cs="Times New Roman"/>
              </w:rPr>
            </w:pPr>
          </w:p>
          <w:p w:rsidR="005010ED" w:rsidRPr="00EB7994" w:rsidRDefault="005010ED" w:rsidP="00F604D7">
            <w:pPr>
              <w:tabs>
                <w:tab w:val="left" w:pos="1170"/>
              </w:tabs>
              <w:spacing w:after="0" w:line="240" w:lineRule="auto"/>
              <w:ind w:left="992" w:right="-533"/>
              <w:rPr>
                <w:rFonts w:ascii="Times New Roman" w:hAnsi="Times New Roman" w:cs="Times New Roman"/>
              </w:rPr>
            </w:pPr>
            <w:r w:rsidRPr="00EB7994">
              <w:rPr>
                <w:rFonts w:ascii="Times New Roman" w:hAnsi="Times New Roman" w:cs="Times New Roman"/>
              </w:rPr>
              <w:t xml:space="preserve">+ Amortissements, dépréciations et provisions (1) </w:t>
            </w:r>
            <w:r w:rsidRPr="00EB7994">
              <w:rPr>
                <w:rFonts w:ascii="Times New Roman" w:hAnsi="Times New Roman" w:cs="Times New Roman"/>
                <w:b/>
                <w:bCs/>
                <w:i/>
                <w:iCs/>
              </w:rPr>
              <w:t>Compte de résultat</w:t>
            </w:r>
          </w:p>
          <w:p w:rsidR="005010ED" w:rsidRPr="00EB7994" w:rsidRDefault="005010ED" w:rsidP="00C66F0F">
            <w:pPr>
              <w:tabs>
                <w:tab w:val="left" w:pos="1170"/>
                <w:tab w:val="left" w:pos="5661"/>
              </w:tabs>
              <w:spacing w:after="0" w:line="240" w:lineRule="auto"/>
              <w:ind w:left="992" w:right="-533"/>
              <w:rPr>
                <w:rFonts w:ascii="Times New Roman" w:hAnsi="Times New Roman" w:cs="Times New Roman"/>
                <w:b/>
                <w:bCs/>
                <w:i/>
                <w:iCs/>
              </w:rPr>
            </w:pPr>
            <w:r w:rsidRPr="00EB7994">
              <w:rPr>
                <w:rFonts w:ascii="Times New Roman" w:hAnsi="Times New Roman" w:cs="Times New Roman"/>
              </w:rPr>
              <w:t xml:space="preserve">+ Valeur comptable des éléments d’actif cédés </w:t>
            </w:r>
            <w:r w:rsidRPr="00EB7994">
              <w:rPr>
                <w:rFonts w:ascii="Times New Roman" w:hAnsi="Times New Roman" w:cs="Times New Roman"/>
                <w:b/>
                <w:bCs/>
                <w:i/>
                <w:iCs/>
              </w:rPr>
              <w:t>Idem</w:t>
            </w:r>
          </w:p>
          <w:p w:rsidR="005010ED" w:rsidRPr="00EB7994" w:rsidRDefault="005010ED" w:rsidP="00577C4B">
            <w:pPr>
              <w:pStyle w:val="Paragraphedeliste"/>
              <w:numPr>
                <w:ilvl w:val="0"/>
                <w:numId w:val="23"/>
              </w:numPr>
              <w:tabs>
                <w:tab w:val="left" w:pos="1170"/>
              </w:tabs>
              <w:spacing w:after="0" w:line="240" w:lineRule="auto"/>
              <w:ind w:right="-533"/>
              <w:rPr>
                <w:rFonts w:ascii="Times New Roman" w:hAnsi="Times New Roman" w:cs="Times New Roman"/>
              </w:rPr>
            </w:pPr>
            <w:r w:rsidRPr="00EB7994">
              <w:rPr>
                <w:rFonts w:ascii="Times New Roman" w:hAnsi="Times New Roman" w:cs="Times New Roman"/>
              </w:rPr>
              <w:t>Produits de cessions d’éléments d’actif</w:t>
            </w:r>
          </w:p>
          <w:p w:rsidR="005010ED" w:rsidRPr="00EB7994" w:rsidRDefault="005010ED" w:rsidP="00577C4B">
            <w:pPr>
              <w:pStyle w:val="Paragraphedeliste"/>
              <w:numPr>
                <w:ilvl w:val="0"/>
                <w:numId w:val="23"/>
              </w:numPr>
              <w:tabs>
                <w:tab w:val="left" w:pos="1170"/>
              </w:tabs>
              <w:spacing w:after="0" w:line="240" w:lineRule="auto"/>
              <w:ind w:right="-533"/>
              <w:rPr>
                <w:rFonts w:ascii="Times New Roman" w:hAnsi="Times New Roman" w:cs="Times New Roman"/>
              </w:rPr>
            </w:pPr>
            <w:r w:rsidRPr="00EB7994">
              <w:rPr>
                <w:rFonts w:ascii="Times New Roman" w:hAnsi="Times New Roman" w:cs="Times New Roman"/>
              </w:rPr>
              <w:t xml:space="preserve">Quote-part des subventions d'investissement virée au résultat </w:t>
            </w:r>
            <w:r w:rsidRPr="00EB7994">
              <w:rPr>
                <w:rFonts w:ascii="Times New Roman" w:hAnsi="Times New Roman" w:cs="Times New Roman"/>
                <w:b/>
                <w:bCs/>
                <w:i/>
                <w:iCs/>
              </w:rPr>
              <w:t>Enoncé</w:t>
            </w:r>
          </w:p>
          <w:p w:rsidR="005010ED" w:rsidRPr="00EB7994" w:rsidRDefault="005010ED" w:rsidP="00C66F0F">
            <w:pPr>
              <w:tabs>
                <w:tab w:val="left" w:pos="1170"/>
              </w:tabs>
              <w:spacing w:before="120" w:after="0" w:line="240" w:lineRule="auto"/>
              <w:ind w:right="-533"/>
              <w:rPr>
                <w:rFonts w:ascii="Times New Roman" w:hAnsi="Times New Roman" w:cs="Times New Roman"/>
              </w:rPr>
            </w:pPr>
            <w:r w:rsidRPr="00EB7994">
              <w:rPr>
                <w:rFonts w:ascii="Times New Roman" w:hAnsi="Times New Roman" w:cs="Times New Roman"/>
              </w:rPr>
              <w:t>Marge brute d'autofinancement</w:t>
            </w:r>
          </w:p>
          <w:p w:rsidR="005010ED" w:rsidRPr="00EB7994" w:rsidRDefault="005010ED" w:rsidP="00C66F0F">
            <w:pPr>
              <w:tabs>
                <w:tab w:val="left" w:pos="975"/>
                <w:tab w:val="left" w:pos="1170"/>
              </w:tabs>
              <w:spacing w:before="240" w:after="0" w:line="240" w:lineRule="auto"/>
              <w:ind w:right="-533"/>
              <w:rPr>
                <w:rFonts w:ascii="Times New Roman" w:hAnsi="Times New Roman" w:cs="Times New Roman"/>
              </w:rPr>
            </w:pPr>
            <w:r w:rsidRPr="00EB7994">
              <w:rPr>
                <w:rFonts w:ascii="Times New Roman" w:hAnsi="Times New Roman" w:cs="Times New Roman"/>
              </w:rPr>
              <w:t xml:space="preserve">Moins : variation du besoin en fonds de roulement lié à l'activité        </w:t>
            </w:r>
            <w:r w:rsidRPr="00EB7994">
              <w:rPr>
                <w:rFonts w:ascii="Times New Roman" w:hAnsi="Times New Roman" w:cs="Times New Roman"/>
                <w:b/>
                <w:bCs/>
                <w:i/>
                <w:iCs/>
              </w:rPr>
              <w:t>(Voir détail)</w:t>
            </w:r>
            <w:r w:rsidRPr="00EB7994">
              <w:rPr>
                <w:rFonts w:ascii="Times New Roman" w:hAnsi="Times New Roman" w:cs="Times New Roman"/>
              </w:rPr>
              <w:t xml:space="preserve">                                                                                                                                                                         </w:t>
            </w:r>
          </w:p>
          <w:p w:rsidR="005010ED" w:rsidRPr="00EB7994" w:rsidRDefault="005010ED" w:rsidP="00F604D7">
            <w:pPr>
              <w:tabs>
                <w:tab w:val="left" w:pos="975"/>
                <w:tab w:val="left" w:pos="1170"/>
              </w:tabs>
              <w:spacing w:after="0" w:line="240" w:lineRule="auto"/>
              <w:ind w:left="993" w:right="-533"/>
              <w:rPr>
                <w:rFonts w:ascii="Times New Roman" w:hAnsi="Times New Roman" w:cs="Times New Roman"/>
              </w:rPr>
            </w:pPr>
          </w:p>
          <w:p w:rsidR="005010ED" w:rsidRPr="00EB7994" w:rsidRDefault="005010ED" w:rsidP="00F604D7">
            <w:pPr>
              <w:tabs>
                <w:tab w:val="left" w:pos="975"/>
                <w:tab w:val="left" w:pos="1170"/>
              </w:tabs>
              <w:spacing w:after="0" w:line="240" w:lineRule="auto"/>
              <w:ind w:left="1877" w:right="-533"/>
              <w:rPr>
                <w:rFonts w:ascii="Times New Roman" w:hAnsi="Times New Roman" w:cs="Times New Roman"/>
                <w:b/>
                <w:bCs/>
              </w:rPr>
            </w:pPr>
            <w:r w:rsidRPr="00EB7994">
              <w:rPr>
                <w:rFonts w:ascii="Times New Roman" w:hAnsi="Times New Roman" w:cs="Times New Roman"/>
                <w:b/>
                <w:bCs/>
              </w:rPr>
              <w:t>Flux net de trésorerie généré par l'activité (A)</w:t>
            </w:r>
          </w:p>
        </w:tc>
        <w:tc>
          <w:tcPr>
            <w:tcW w:w="1275" w:type="dxa"/>
          </w:tcPr>
          <w:p w:rsidR="005010ED" w:rsidRPr="00EB7994" w:rsidRDefault="005010ED" w:rsidP="00F604D7">
            <w:pPr>
              <w:spacing w:after="0" w:line="240" w:lineRule="auto"/>
              <w:ind w:right="175"/>
              <w:jc w:val="right"/>
              <w:rPr>
                <w:rFonts w:ascii="Times New Roman" w:hAnsi="Times New Roman" w:cs="Times New Roman"/>
              </w:rPr>
            </w:pPr>
          </w:p>
          <w:p w:rsidR="005010ED" w:rsidRPr="00EB7994" w:rsidRDefault="005010ED" w:rsidP="00F604D7">
            <w:pPr>
              <w:spacing w:after="0" w:line="240" w:lineRule="auto"/>
              <w:ind w:right="175"/>
              <w:jc w:val="right"/>
              <w:rPr>
                <w:rFonts w:ascii="Times New Roman" w:hAnsi="Times New Roman" w:cs="Times New Roman"/>
              </w:rPr>
            </w:pPr>
          </w:p>
          <w:p w:rsidR="005010ED" w:rsidRPr="00EB7994" w:rsidRDefault="005010ED" w:rsidP="00F604D7">
            <w:pPr>
              <w:spacing w:after="0" w:line="240" w:lineRule="auto"/>
              <w:ind w:right="175"/>
              <w:jc w:val="right"/>
              <w:rPr>
                <w:rFonts w:ascii="Times New Roman" w:hAnsi="Times New Roman" w:cs="Times New Roman"/>
              </w:rPr>
            </w:pPr>
            <w:r w:rsidRPr="00EB7994">
              <w:rPr>
                <w:rFonts w:ascii="Times New Roman" w:hAnsi="Times New Roman" w:cs="Times New Roman"/>
              </w:rPr>
              <w:t>13 536</w:t>
            </w:r>
          </w:p>
          <w:p w:rsidR="005010ED" w:rsidRPr="00EB7994" w:rsidRDefault="005010ED" w:rsidP="00F604D7">
            <w:pPr>
              <w:spacing w:after="0" w:line="240" w:lineRule="auto"/>
              <w:ind w:left="-108" w:right="175"/>
              <w:jc w:val="right"/>
              <w:rPr>
                <w:rFonts w:ascii="Times New Roman" w:hAnsi="Times New Roman" w:cs="Times New Roman"/>
              </w:rPr>
            </w:pPr>
          </w:p>
          <w:p w:rsidR="005010ED" w:rsidRPr="00EB7994" w:rsidRDefault="005010ED" w:rsidP="00F604D7">
            <w:pPr>
              <w:spacing w:after="0" w:line="240" w:lineRule="auto"/>
              <w:ind w:left="-108" w:right="175"/>
              <w:jc w:val="right"/>
              <w:rPr>
                <w:rFonts w:ascii="Times New Roman" w:hAnsi="Times New Roman" w:cs="Times New Roman"/>
              </w:rPr>
            </w:pPr>
          </w:p>
          <w:p w:rsidR="005010ED" w:rsidRPr="00EB7994" w:rsidRDefault="005010ED" w:rsidP="00F604D7">
            <w:pPr>
              <w:spacing w:after="0" w:line="240" w:lineRule="auto"/>
              <w:ind w:left="-108" w:right="175"/>
              <w:jc w:val="right"/>
              <w:rPr>
                <w:rFonts w:ascii="Times New Roman" w:hAnsi="Times New Roman" w:cs="Times New Roman"/>
              </w:rPr>
            </w:pPr>
            <w:r w:rsidRPr="00EB7994">
              <w:rPr>
                <w:rFonts w:ascii="Times New Roman" w:hAnsi="Times New Roman" w:cs="Times New Roman"/>
              </w:rPr>
              <w:t>+154 441</w:t>
            </w:r>
          </w:p>
          <w:p w:rsidR="005010ED" w:rsidRPr="00EB7994" w:rsidRDefault="005010ED" w:rsidP="00F604D7">
            <w:pPr>
              <w:spacing w:after="0" w:line="240" w:lineRule="auto"/>
              <w:ind w:left="-108" w:right="175"/>
              <w:jc w:val="right"/>
              <w:rPr>
                <w:rFonts w:ascii="Times New Roman" w:hAnsi="Times New Roman" w:cs="Times New Roman"/>
              </w:rPr>
            </w:pPr>
            <w:r w:rsidRPr="00EB7994">
              <w:rPr>
                <w:rFonts w:ascii="Times New Roman" w:hAnsi="Times New Roman" w:cs="Times New Roman"/>
              </w:rPr>
              <w:t>+4 835</w:t>
            </w:r>
          </w:p>
          <w:p w:rsidR="005010ED" w:rsidRPr="00EB7994" w:rsidRDefault="005010ED" w:rsidP="00F604D7">
            <w:pPr>
              <w:spacing w:after="0" w:line="240" w:lineRule="auto"/>
              <w:ind w:right="175"/>
              <w:jc w:val="right"/>
              <w:rPr>
                <w:rFonts w:ascii="Times New Roman" w:hAnsi="Times New Roman" w:cs="Times New Roman"/>
              </w:rPr>
            </w:pPr>
          </w:p>
          <w:p w:rsidR="005010ED" w:rsidRPr="00EB7994" w:rsidRDefault="005010ED" w:rsidP="00F604D7">
            <w:pPr>
              <w:pStyle w:val="Paragraphedeliste"/>
              <w:spacing w:after="0" w:line="240" w:lineRule="auto"/>
              <w:ind w:left="252" w:right="175"/>
              <w:jc w:val="right"/>
              <w:rPr>
                <w:rFonts w:ascii="Times New Roman" w:hAnsi="Times New Roman" w:cs="Times New Roman"/>
              </w:rPr>
            </w:pPr>
            <w:r w:rsidRPr="00EB7994">
              <w:rPr>
                <w:rFonts w:ascii="Times New Roman" w:hAnsi="Times New Roman" w:cs="Times New Roman"/>
              </w:rPr>
              <w:t>-4 000</w:t>
            </w:r>
          </w:p>
        </w:tc>
      </w:tr>
      <w:tr w:rsidR="005010ED" w:rsidRPr="00EB7994" w:rsidTr="005010ED">
        <w:trPr>
          <w:trHeight w:val="205"/>
        </w:trPr>
        <w:tc>
          <w:tcPr>
            <w:tcW w:w="7656" w:type="dxa"/>
            <w:vMerge/>
          </w:tcPr>
          <w:p w:rsidR="005010ED" w:rsidRPr="00EB7994" w:rsidRDefault="005010ED" w:rsidP="00F604D7">
            <w:pPr>
              <w:spacing w:after="0" w:line="240" w:lineRule="auto"/>
              <w:rPr>
                <w:rFonts w:ascii="Times New Roman" w:hAnsi="Times New Roman" w:cs="Times New Roman"/>
                <w:b/>
                <w:bCs/>
              </w:rPr>
            </w:pPr>
          </w:p>
        </w:tc>
        <w:tc>
          <w:tcPr>
            <w:tcW w:w="1275" w:type="dxa"/>
          </w:tcPr>
          <w:p w:rsidR="005010ED" w:rsidRPr="00EB7994" w:rsidRDefault="005010ED" w:rsidP="00577C4B">
            <w:pPr>
              <w:spacing w:after="0" w:line="240" w:lineRule="auto"/>
              <w:ind w:left="-108" w:right="175"/>
              <w:jc w:val="right"/>
              <w:rPr>
                <w:rFonts w:ascii="Times New Roman" w:hAnsi="Times New Roman" w:cs="Times New Roman"/>
              </w:rPr>
            </w:pPr>
            <w:r w:rsidRPr="00EB7994">
              <w:rPr>
                <w:rFonts w:ascii="Times New Roman" w:hAnsi="Times New Roman" w:cs="Times New Roman"/>
              </w:rPr>
              <w:t>168 812</w:t>
            </w:r>
          </w:p>
        </w:tc>
      </w:tr>
      <w:tr w:rsidR="005010ED" w:rsidRPr="00EB7994" w:rsidTr="005010ED">
        <w:trPr>
          <w:trHeight w:val="715"/>
        </w:trPr>
        <w:tc>
          <w:tcPr>
            <w:tcW w:w="7656" w:type="dxa"/>
            <w:vMerge/>
          </w:tcPr>
          <w:p w:rsidR="005010ED" w:rsidRPr="00EB7994" w:rsidRDefault="005010ED" w:rsidP="00F604D7">
            <w:pPr>
              <w:spacing w:after="0" w:line="240" w:lineRule="auto"/>
              <w:rPr>
                <w:rFonts w:ascii="Times New Roman" w:hAnsi="Times New Roman" w:cs="Times New Roman"/>
                <w:b/>
                <w:bCs/>
              </w:rPr>
            </w:pPr>
          </w:p>
        </w:tc>
        <w:tc>
          <w:tcPr>
            <w:tcW w:w="1275" w:type="dxa"/>
          </w:tcPr>
          <w:p w:rsidR="005010ED" w:rsidRPr="00EB7994" w:rsidRDefault="005010ED" w:rsidP="00577C4B">
            <w:pPr>
              <w:spacing w:after="0" w:line="240" w:lineRule="auto"/>
              <w:ind w:left="-108" w:right="175"/>
              <w:jc w:val="right"/>
              <w:rPr>
                <w:rFonts w:ascii="Times New Roman" w:hAnsi="Times New Roman" w:cs="Times New Roman"/>
              </w:rPr>
            </w:pPr>
          </w:p>
          <w:p w:rsidR="005010ED" w:rsidRPr="00EB7994" w:rsidRDefault="005010ED" w:rsidP="00577C4B">
            <w:pPr>
              <w:spacing w:after="0" w:line="240" w:lineRule="auto"/>
              <w:ind w:left="-108" w:right="175"/>
              <w:jc w:val="right"/>
              <w:rPr>
                <w:rFonts w:ascii="Times New Roman" w:hAnsi="Times New Roman" w:cs="Times New Roman"/>
              </w:rPr>
            </w:pPr>
            <w:r w:rsidRPr="00EB7994">
              <w:rPr>
                <w:rFonts w:ascii="Times New Roman" w:hAnsi="Times New Roman" w:cs="Times New Roman"/>
              </w:rPr>
              <w:t>-32 431</w:t>
            </w:r>
          </w:p>
          <w:p w:rsidR="005010ED" w:rsidRPr="00EB7994" w:rsidRDefault="005010ED" w:rsidP="00577C4B">
            <w:pPr>
              <w:spacing w:after="0" w:line="240" w:lineRule="auto"/>
              <w:ind w:left="-108" w:right="175"/>
              <w:jc w:val="right"/>
              <w:rPr>
                <w:rFonts w:ascii="Times New Roman" w:hAnsi="Times New Roman" w:cs="Times New Roman"/>
              </w:rPr>
            </w:pPr>
          </w:p>
        </w:tc>
      </w:tr>
      <w:tr w:rsidR="005010ED" w:rsidRPr="00EB7994" w:rsidTr="005010ED">
        <w:trPr>
          <w:trHeight w:val="70"/>
        </w:trPr>
        <w:tc>
          <w:tcPr>
            <w:tcW w:w="7656" w:type="dxa"/>
            <w:vMerge/>
          </w:tcPr>
          <w:p w:rsidR="005010ED" w:rsidRPr="00EB7994" w:rsidRDefault="005010ED" w:rsidP="00F604D7">
            <w:pPr>
              <w:spacing w:after="0" w:line="240" w:lineRule="auto"/>
              <w:rPr>
                <w:rFonts w:ascii="Times New Roman" w:hAnsi="Times New Roman" w:cs="Times New Roman"/>
                <w:b/>
                <w:bCs/>
              </w:rPr>
            </w:pPr>
          </w:p>
        </w:tc>
        <w:tc>
          <w:tcPr>
            <w:tcW w:w="1275" w:type="dxa"/>
          </w:tcPr>
          <w:p w:rsidR="005010ED" w:rsidRPr="00EB7994" w:rsidRDefault="005010ED" w:rsidP="00577C4B">
            <w:pPr>
              <w:spacing w:after="0" w:line="240" w:lineRule="auto"/>
              <w:ind w:left="-108" w:right="175"/>
              <w:jc w:val="right"/>
              <w:rPr>
                <w:rFonts w:ascii="Times New Roman" w:hAnsi="Times New Roman" w:cs="Times New Roman"/>
                <w:b/>
                <w:bCs/>
              </w:rPr>
            </w:pPr>
            <w:r w:rsidRPr="00EB7994">
              <w:rPr>
                <w:rFonts w:ascii="Times New Roman" w:hAnsi="Times New Roman" w:cs="Times New Roman"/>
                <w:b/>
                <w:bCs/>
              </w:rPr>
              <w:t>136 381</w:t>
            </w:r>
          </w:p>
        </w:tc>
      </w:tr>
      <w:tr w:rsidR="005010ED" w:rsidRPr="00EB7994" w:rsidTr="005010ED">
        <w:trPr>
          <w:trHeight w:val="885"/>
        </w:trPr>
        <w:tc>
          <w:tcPr>
            <w:tcW w:w="7656" w:type="dxa"/>
            <w:vMerge w:val="restart"/>
          </w:tcPr>
          <w:p w:rsidR="005010ED" w:rsidRPr="00EB7994" w:rsidRDefault="005010ED" w:rsidP="00F604D7">
            <w:pPr>
              <w:spacing w:after="0" w:line="240" w:lineRule="auto"/>
              <w:rPr>
                <w:rFonts w:ascii="Times New Roman" w:hAnsi="Times New Roman" w:cs="Times New Roman"/>
                <w:b/>
                <w:bCs/>
              </w:rPr>
            </w:pPr>
            <w:r w:rsidRPr="00EB7994">
              <w:rPr>
                <w:rFonts w:ascii="Times New Roman" w:hAnsi="Times New Roman" w:cs="Times New Roman"/>
                <w:b/>
                <w:bCs/>
              </w:rPr>
              <w:t>Flux de trésorerie liés aux opérations d'investissement</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xml:space="preserve">Cessions d'immobilisations </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xml:space="preserve">Réductions d'immobilisations financières </w:t>
            </w:r>
          </w:p>
          <w:p w:rsidR="005010ED" w:rsidRPr="00EB7994" w:rsidRDefault="005010ED" w:rsidP="00577C4B">
            <w:pPr>
              <w:pStyle w:val="Paragraphedeliste"/>
              <w:numPr>
                <w:ilvl w:val="0"/>
                <w:numId w:val="23"/>
              </w:numPr>
              <w:spacing w:after="0" w:line="240" w:lineRule="auto"/>
              <w:ind w:left="176" w:hanging="176"/>
              <w:rPr>
                <w:rFonts w:ascii="Times New Roman" w:hAnsi="Times New Roman" w:cs="Times New Roman"/>
              </w:rPr>
            </w:pPr>
            <w:r w:rsidRPr="00EB7994">
              <w:rPr>
                <w:rFonts w:ascii="Times New Roman" w:hAnsi="Times New Roman" w:cs="Times New Roman"/>
              </w:rPr>
              <w:t xml:space="preserve">Acquisitions d'immobilisations </w:t>
            </w:r>
            <w:r w:rsidRPr="00EB7994">
              <w:rPr>
                <w:rFonts w:ascii="Times New Roman" w:hAnsi="Times New Roman" w:cs="Times New Roman"/>
                <w:b/>
                <w:bCs/>
                <w:i/>
                <w:iCs/>
                <w:sz w:val="20"/>
                <w:szCs w:val="20"/>
              </w:rPr>
              <w:t>Total colonne « augmentation » du tableau des immos</w:t>
            </w:r>
          </w:p>
          <w:p w:rsidR="005010ED" w:rsidRPr="00EB7994" w:rsidRDefault="005010ED" w:rsidP="00F604D7">
            <w:pPr>
              <w:spacing w:after="0" w:line="240" w:lineRule="auto"/>
              <w:rPr>
                <w:rFonts w:ascii="Times New Roman" w:hAnsi="Times New Roman" w:cs="Times New Roman"/>
              </w:rPr>
            </w:pPr>
          </w:p>
          <w:p w:rsidR="005010ED" w:rsidRPr="00EB7994" w:rsidRDefault="005010ED" w:rsidP="00F604D7">
            <w:pPr>
              <w:spacing w:after="0" w:line="240" w:lineRule="auto"/>
              <w:rPr>
                <w:rFonts w:ascii="Times New Roman" w:hAnsi="Times New Roman" w:cs="Times New Roman"/>
                <w:b/>
                <w:bCs/>
                <w:i/>
                <w:iCs/>
              </w:rPr>
            </w:pPr>
            <w:r w:rsidRPr="00EB7994">
              <w:rPr>
                <w:rFonts w:ascii="Times New Roman" w:hAnsi="Times New Roman" w:cs="Times New Roman"/>
              </w:rPr>
              <w:t xml:space="preserve">Variation des créances et dettes sur immobilisations </w:t>
            </w:r>
            <w:r w:rsidRPr="00EB7994">
              <w:rPr>
                <w:rFonts w:ascii="Times New Roman" w:hAnsi="Times New Roman" w:cs="Times New Roman"/>
                <w:b/>
                <w:bCs/>
                <w:i/>
                <w:iCs/>
              </w:rPr>
              <w:t>Voir détail</w:t>
            </w:r>
          </w:p>
          <w:p w:rsidR="005010ED" w:rsidRPr="00EB7994" w:rsidRDefault="005010ED" w:rsidP="00F604D7">
            <w:pPr>
              <w:spacing w:after="0" w:line="240" w:lineRule="auto"/>
              <w:ind w:right="-108"/>
              <w:rPr>
                <w:rFonts w:ascii="Times New Roman" w:hAnsi="Times New Roman" w:cs="Times New Roman"/>
                <w:b/>
                <w:bCs/>
              </w:rPr>
            </w:pPr>
            <w:r w:rsidRPr="00EB7994">
              <w:rPr>
                <w:rFonts w:ascii="Times New Roman" w:hAnsi="Times New Roman" w:cs="Times New Roman"/>
                <w:b/>
                <w:bCs/>
              </w:rPr>
              <w:t xml:space="preserve">                                             </w:t>
            </w:r>
          </w:p>
          <w:p w:rsidR="005010ED" w:rsidRPr="00EB7994" w:rsidRDefault="005010ED" w:rsidP="00F604D7">
            <w:pPr>
              <w:spacing w:after="0" w:line="240" w:lineRule="auto"/>
              <w:ind w:left="3828" w:right="-108"/>
              <w:rPr>
                <w:rFonts w:ascii="Times New Roman" w:hAnsi="Times New Roman" w:cs="Times New Roman"/>
                <w:b/>
                <w:bCs/>
              </w:rPr>
            </w:pPr>
          </w:p>
          <w:p w:rsidR="005010ED" w:rsidRPr="00EB7994" w:rsidRDefault="005010ED" w:rsidP="00F604D7">
            <w:pPr>
              <w:spacing w:after="0" w:line="240" w:lineRule="auto"/>
              <w:ind w:left="1877" w:right="-108"/>
              <w:rPr>
                <w:rFonts w:ascii="Times New Roman" w:hAnsi="Times New Roman" w:cs="Times New Roman"/>
                <w:b/>
                <w:bCs/>
              </w:rPr>
            </w:pPr>
            <w:r w:rsidRPr="00EB7994">
              <w:rPr>
                <w:rFonts w:ascii="Times New Roman" w:hAnsi="Times New Roman" w:cs="Times New Roman"/>
                <w:b/>
                <w:bCs/>
              </w:rPr>
              <w:t>Flux net de trésorerie lié aux opérations d'investissement (B)</w:t>
            </w:r>
          </w:p>
        </w:tc>
        <w:tc>
          <w:tcPr>
            <w:tcW w:w="1275" w:type="dxa"/>
          </w:tcPr>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-109 564</w:t>
            </w: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18 683</w:t>
            </w:r>
          </w:p>
        </w:tc>
      </w:tr>
      <w:tr w:rsidR="005010ED" w:rsidRPr="00EB7994" w:rsidTr="005010ED">
        <w:trPr>
          <w:trHeight w:val="289"/>
        </w:trPr>
        <w:tc>
          <w:tcPr>
            <w:tcW w:w="7656" w:type="dxa"/>
            <w:vMerge/>
          </w:tcPr>
          <w:p w:rsidR="005010ED" w:rsidRPr="00EB7994" w:rsidRDefault="005010ED" w:rsidP="00F604D7">
            <w:pPr>
              <w:spacing w:after="0" w:line="240" w:lineRule="auto"/>
              <w:rPr>
                <w:rFonts w:ascii="Times New Roman" w:hAnsi="Times New Roman" w:cs="Times New Roman"/>
              </w:rPr>
            </w:pPr>
          </w:p>
        </w:tc>
        <w:tc>
          <w:tcPr>
            <w:tcW w:w="1275" w:type="dxa"/>
          </w:tcPr>
          <w:p w:rsidR="005010ED" w:rsidRPr="00EB7994" w:rsidRDefault="005010ED" w:rsidP="00577C4B">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-90 881</w:t>
            </w:r>
          </w:p>
        </w:tc>
      </w:tr>
      <w:tr w:rsidR="005010ED" w:rsidRPr="00EB7994" w:rsidTr="005010ED">
        <w:trPr>
          <w:trHeight w:val="1980"/>
        </w:trPr>
        <w:tc>
          <w:tcPr>
            <w:tcW w:w="7656" w:type="dxa"/>
            <w:vMerge w:val="restart"/>
          </w:tcPr>
          <w:p w:rsidR="005010ED" w:rsidRPr="00EB7994" w:rsidRDefault="005010ED" w:rsidP="00F604D7">
            <w:pPr>
              <w:spacing w:after="0" w:line="240" w:lineRule="auto"/>
              <w:rPr>
                <w:rFonts w:ascii="Times New Roman" w:hAnsi="Times New Roman" w:cs="Times New Roman"/>
              </w:rPr>
            </w:pPr>
          </w:p>
          <w:p w:rsidR="005010ED" w:rsidRPr="00EB7994" w:rsidRDefault="005010ED" w:rsidP="00F604D7">
            <w:pPr>
              <w:spacing w:after="0" w:line="240" w:lineRule="auto"/>
              <w:rPr>
                <w:rFonts w:ascii="Times New Roman" w:hAnsi="Times New Roman" w:cs="Times New Roman"/>
                <w:b/>
                <w:bCs/>
              </w:rPr>
            </w:pPr>
            <w:r w:rsidRPr="00EB7994">
              <w:rPr>
                <w:rFonts w:ascii="Times New Roman" w:hAnsi="Times New Roman" w:cs="Times New Roman"/>
                <w:b/>
                <w:bCs/>
              </w:rPr>
              <w:t>Flux de trésorerie liés aux opérations de financement</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xml:space="preserve">Augmentation ou réduction de capital </w:t>
            </w:r>
            <w:r w:rsidRPr="00EB7994">
              <w:rPr>
                <w:rFonts w:ascii="Times New Roman" w:hAnsi="Times New Roman" w:cs="Times New Roman"/>
                <w:b/>
                <w:bCs/>
                <w:i/>
                <w:iCs/>
              </w:rPr>
              <w:t>Variation du poste capital au passif</w:t>
            </w:r>
          </w:p>
          <w:p w:rsidR="005010ED" w:rsidRPr="00EB7994" w:rsidRDefault="005010ED" w:rsidP="00577C4B">
            <w:pPr>
              <w:pStyle w:val="Paragraphedeliste"/>
              <w:numPr>
                <w:ilvl w:val="0"/>
                <w:numId w:val="23"/>
              </w:numPr>
              <w:spacing w:after="0" w:line="240" w:lineRule="auto"/>
              <w:ind w:left="176" w:hanging="142"/>
              <w:rPr>
                <w:rFonts w:ascii="Times New Roman" w:hAnsi="Times New Roman" w:cs="Times New Roman"/>
              </w:rPr>
            </w:pPr>
            <w:r w:rsidRPr="00EB7994">
              <w:rPr>
                <w:rFonts w:ascii="Times New Roman" w:hAnsi="Times New Roman" w:cs="Times New Roman"/>
              </w:rPr>
              <w:t>Dividendes versés</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Augmentation des dettes financières</w:t>
            </w:r>
          </w:p>
          <w:p w:rsidR="005010ED" w:rsidRPr="00EB7994" w:rsidRDefault="005010ED" w:rsidP="00577C4B">
            <w:pPr>
              <w:pStyle w:val="Paragraphedeliste"/>
              <w:numPr>
                <w:ilvl w:val="0"/>
                <w:numId w:val="23"/>
              </w:numPr>
              <w:spacing w:after="0" w:line="240" w:lineRule="auto"/>
              <w:ind w:left="176" w:hanging="142"/>
              <w:rPr>
                <w:rFonts w:ascii="Times New Roman" w:hAnsi="Times New Roman" w:cs="Times New Roman"/>
              </w:rPr>
            </w:pPr>
            <w:r w:rsidRPr="00EB7994">
              <w:rPr>
                <w:rFonts w:ascii="Times New Roman" w:hAnsi="Times New Roman" w:cs="Times New Roman"/>
              </w:rPr>
              <w:t xml:space="preserve">Remboursements des dettes financières </w:t>
            </w:r>
            <w:r w:rsidRPr="00EB7994">
              <w:rPr>
                <w:rFonts w:ascii="Times New Roman" w:hAnsi="Times New Roman" w:cs="Times New Roman"/>
                <w:b/>
                <w:bCs/>
                <w:i/>
                <w:iCs/>
              </w:rPr>
              <w:t>Voir détail</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xml:space="preserve">+ Subventions d'investissements reçues </w:t>
            </w:r>
            <w:r w:rsidRPr="00EB7994">
              <w:rPr>
                <w:rFonts w:ascii="Times New Roman" w:hAnsi="Times New Roman" w:cs="Times New Roman"/>
                <w:b/>
                <w:bCs/>
                <w:i/>
                <w:iCs/>
              </w:rPr>
              <w:t>Voir détail</w:t>
            </w:r>
            <w:r w:rsidRPr="00EB7994">
              <w:rPr>
                <w:rFonts w:ascii="Times New Roman" w:hAnsi="Times New Roman" w:cs="Times New Roman"/>
              </w:rPr>
              <w:t xml:space="preserve"> </w:t>
            </w:r>
          </w:p>
          <w:p w:rsidR="005010ED" w:rsidRPr="00EB7994" w:rsidRDefault="005010ED" w:rsidP="00577C4B">
            <w:pPr>
              <w:pStyle w:val="Paragraphedeliste"/>
              <w:numPr>
                <w:ilvl w:val="0"/>
                <w:numId w:val="23"/>
              </w:numPr>
              <w:spacing w:after="0" w:line="240" w:lineRule="auto"/>
              <w:ind w:left="176" w:hanging="142"/>
              <w:rPr>
                <w:rFonts w:ascii="Times New Roman" w:hAnsi="Times New Roman" w:cs="Times New Roman"/>
              </w:rPr>
            </w:pPr>
            <w:r w:rsidRPr="00EB7994">
              <w:rPr>
                <w:rFonts w:ascii="Times New Roman" w:hAnsi="Times New Roman" w:cs="Times New Roman"/>
              </w:rPr>
              <w:t xml:space="preserve">Variation du capital souscrit non appelé </w:t>
            </w:r>
            <w:r w:rsidRPr="00EB7994">
              <w:rPr>
                <w:rFonts w:ascii="Times New Roman" w:hAnsi="Times New Roman" w:cs="Times New Roman"/>
                <w:b/>
                <w:bCs/>
                <w:i/>
                <w:iCs/>
              </w:rPr>
              <w:t>Variation du poste à l’actif</w:t>
            </w:r>
          </w:p>
          <w:p w:rsidR="005010ED" w:rsidRPr="00EB7994" w:rsidRDefault="005010ED" w:rsidP="00F604D7">
            <w:pPr>
              <w:spacing w:after="0" w:line="240" w:lineRule="auto"/>
              <w:ind w:left="1877" w:right="-108"/>
              <w:rPr>
                <w:rFonts w:ascii="Times New Roman" w:hAnsi="Times New Roman" w:cs="Times New Roman"/>
                <w:b/>
                <w:bCs/>
              </w:rPr>
            </w:pPr>
            <w:r w:rsidRPr="00EB7994">
              <w:rPr>
                <w:rFonts w:ascii="Times New Roman" w:hAnsi="Times New Roman" w:cs="Times New Roman"/>
                <w:b/>
                <w:bCs/>
              </w:rPr>
              <w:t>Flux net de trésorerie lié aux opérations de financement (C)</w:t>
            </w:r>
          </w:p>
        </w:tc>
        <w:tc>
          <w:tcPr>
            <w:tcW w:w="1275" w:type="dxa"/>
          </w:tcPr>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50 000</w:t>
            </w: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-94 795</w:t>
            </w: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20 000</w:t>
            </w: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-25 000</w:t>
            </w:r>
          </w:p>
        </w:tc>
      </w:tr>
      <w:tr w:rsidR="005010ED" w:rsidRPr="00EB7994" w:rsidTr="005010ED">
        <w:trPr>
          <w:trHeight w:val="279"/>
        </w:trPr>
        <w:tc>
          <w:tcPr>
            <w:tcW w:w="7656" w:type="dxa"/>
            <w:vMerge/>
          </w:tcPr>
          <w:p w:rsidR="005010ED" w:rsidRPr="00EB7994" w:rsidRDefault="005010ED" w:rsidP="00F604D7">
            <w:pPr>
              <w:spacing w:after="0" w:line="240" w:lineRule="auto"/>
              <w:rPr>
                <w:rFonts w:ascii="Times New Roman" w:hAnsi="Times New Roman" w:cs="Times New Roman"/>
              </w:rPr>
            </w:pPr>
          </w:p>
        </w:tc>
        <w:tc>
          <w:tcPr>
            <w:tcW w:w="1275" w:type="dxa"/>
          </w:tcPr>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-49 795</w:t>
            </w:r>
          </w:p>
        </w:tc>
      </w:tr>
      <w:tr w:rsidR="005010ED" w:rsidRPr="00EB7994" w:rsidTr="005010ED">
        <w:tc>
          <w:tcPr>
            <w:tcW w:w="7656" w:type="dxa"/>
          </w:tcPr>
          <w:p w:rsidR="005010ED" w:rsidRPr="00EB7994" w:rsidRDefault="005010ED" w:rsidP="00F604D7">
            <w:pPr>
              <w:spacing w:after="0" w:line="240" w:lineRule="auto"/>
              <w:rPr>
                <w:rFonts w:ascii="Times New Roman" w:hAnsi="Times New Roman" w:cs="Times New Roman"/>
                <w:b/>
                <w:bCs/>
              </w:rPr>
            </w:pPr>
          </w:p>
          <w:p w:rsidR="005010ED" w:rsidRPr="00EB7994" w:rsidRDefault="005010ED" w:rsidP="00F604D7">
            <w:pPr>
              <w:spacing w:after="0" w:line="240" w:lineRule="auto"/>
              <w:rPr>
                <w:rFonts w:ascii="Times New Roman" w:hAnsi="Times New Roman" w:cs="Times New Roman"/>
                <w:b/>
                <w:bCs/>
              </w:rPr>
            </w:pPr>
            <w:r w:rsidRPr="00EB7994">
              <w:rPr>
                <w:rFonts w:ascii="Times New Roman" w:hAnsi="Times New Roman" w:cs="Times New Roman"/>
                <w:b/>
                <w:bCs/>
              </w:rPr>
              <w:t>Variation de la trésorerie (A+B+C)</w:t>
            </w:r>
          </w:p>
          <w:p w:rsidR="005010ED" w:rsidRPr="00EB7994" w:rsidRDefault="005010ED" w:rsidP="00F604D7">
            <w:pPr>
              <w:spacing w:after="0" w:line="240" w:lineRule="auto"/>
              <w:rPr>
                <w:rFonts w:ascii="Times New Roman" w:hAnsi="Times New Roman" w:cs="Times New Roman"/>
                <w:b/>
                <w:bCs/>
              </w:rPr>
            </w:pPr>
          </w:p>
          <w:p w:rsidR="005010ED" w:rsidRPr="00EB7994" w:rsidRDefault="005010ED" w:rsidP="00F604D7">
            <w:pPr>
              <w:spacing w:after="0" w:line="240" w:lineRule="auto"/>
              <w:rPr>
                <w:rFonts w:ascii="Times New Roman" w:hAnsi="Times New Roman" w:cs="Times New Roman"/>
                <w:b/>
                <w:bCs/>
                <w:i/>
                <w:iCs/>
              </w:rPr>
            </w:pPr>
            <w:r w:rsidRPr="00EB7994">
              <w:rPr>
                <w:rFonts w:ascii="Times New Roman" w:hAnsi="Times New Roman" w:cs="Times New Roman"/>
              </w:rPr>
              <w:t xml:space="preserve">Trésorerie d'ouverture </w:t>
            </w:r>
            <w:r w:rsidRPr="00EB7994">
              <w:rPr>
                <w:rFonts w:ascii="Times New Roman" w:hAnsi="Times New Roman" w:cs="Times New Roman"/>
                <w:b/>
                <w:bCs/>
                <w:i/>
                <w:iCs/>
              </w:rPr>
              <w:t>Voir bilan n-1</w:t>
            </w:r>
          </w:p>
          <w:p w:rsidR="005010ED" w:rsidRPr="00EB7994" w:rsidRDefault="005010ED" w:rsidP="00F604D7">
            <w:pPr>
              <w:spacing w:after="0" w:line="240" w:lineRule="auto"/>
              <w:rPr>
                <w:rFonts w:ascii="Times New Roman" w:hAnsi="Times New Roman" w:cs="Times New Roman"/>
              </w:rPr>
            </w:pPr>
            <w:r w:rsidRPr="00EB7994">
              <w:rPr>
                <w:rFonts w:ascii="Times New Roman" w:hAnsi="Times New Roman" w:cs="Times New Roman"/>
              </w:rPr>
              <w:t xml:space="preserve">Trésorerie de clôture </w:t>
            </w:r>
            <w:r w:rsidRPr="00EB7994">
              <w:rPr>
                <w:rFonts w:ascii="Times New Roman" w:hAnsi="Times New Roman" w:cs="Times New Roman"/>
                <w:b/>
                <w:bCs/>
                <w:i/>
                <w:iCs/>
              </w:rPr>
              <w:t>Voir détail</w:t>
            </w:r>
          </w:p>
        </w:tc>
        <w:tc>
          <w:tcPr>
            <w:tcW w:w="1275" w:type="dxa"/>
          </w:tcPr>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right="175"/>
              <w:jc w:val="right"/>
              <w:rPr>
                <w:rFonts w:ascii="Times New Roman" w:hAnsi="Times New Roman" w:cs="Times New Roman"/>
              </w:rPr>
            </w:pPr>
            <w:r w:rsidRPr="00EB7994">
              <w:rPr>
                <w:rFonts w:ascii="Times New Roman" w:hAnsi="Times New Roman" w:cs="Times New Roman"/>
              </w:rPr>
              <w:t>-4 295</w:t>
            </w:r>
          </w:p>
          <w:p w:rsidR="005010ED" w:rsidRPr="00EB7994" w:rsidRDefault="005010ED" w:rsidP="00577C4B">
            <w:pPr>
              <w:spacing w:after="0" w:line="240" w:lineRule="auto"/>
              <w:ind w:left="-85" w:right="175"/>
              <w:jc w:val="right"/>
              <w:rPr>
                <w:rFonts w:ascii="Times New Roman" w:hAnsi="Times New Roman" w:cs="Times New Roman"/>
              </w:rPr>
            </w:pP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135 791</w:t>
            </w:r>
          </w:p>
          <w:p w:rsidR="005010ED" w:rsidRPr="00EB7994" w:rsidRDefault="005010ED" w:rsidP="00577C4B">
            <w:pPr>
              <w:spacing w:after="0" w:line="240" w:lineRule="auto"/>
              <w:ind w:left="-85" w:right="175"/>
              <w:jc w:val="right"/>
              <w:rPr>
                <w:rFonts w:ascii="Times New Roman" w:hAnsi="Times New Roman" w:cs="Times New Roman"/>
              </w:rPr>
            </w:pPr>
            <w:r w:rsidRPr="00EB7994">
              <w:rPr>
                <w:rFonts w:ascii="Times New Roman" w:hAnsi="Times New Roman" w:cs="Times New Roman"/>
              </w:rPr>
              <w:t>131 496</w:t>
            </w:r>
          </w:p>
        </w:tc>
      </w:tr>
    </w:tbl>
    <w:p w:rsidR="004E7B76" w:rsidRPr="00EB7994" w:rsidRDefault="004E7B76" w:rsidP="00577C4B">
      <w:pPr>
        <w:pStyle w:val="Paragraphedeliste"/>
        <w:numPr>
          <w:ilvl w:val="0"/>
          <w:numId w:val="24"/>
        </w:numPr>
        <w:spacing w:after="120" w:line="240" w:lineRule="auto"/>
        <w:jc w:val="both"/>
        <w:rPr>
          <w:rFonts w:ascii="Times New Roman" w:hAnsi="Times New Roman" w:cs="Times New Roman"/>
        </w:rPr>
      </w:pPr>
      <w:r w:rsidRPr="00EB7994">
        <w:rPr>
          <w:rFonts w:ascii="Times New Roman" w:hAnsi="Times New Roman" w:cs="Times New Roman"/>
        </w:rPr>
        <w:t>A l’exception des dépréciations sur actif circulant</w:t>
      </w:r>
    </w:p>
    <w:p w:rsidR="004E7B76" w:rsidRPr="00EB7994" w:rsidRDefault="004E7B76">
      <w:pPr>
        <w:rPr>
          <w:rFonts w:ascii="Times New Roman" w:hAnsi="Times New Roman" w:cs="Times New Roman"/>
          <w:b/>
          <w:bCs/>
          <w:color w:val="FF0000"/>
        </w:rPr>
      </w:pPr>
      <w:r w:rsidRPr="00EB7994">
        <w:rPr>
          <w:rFonts w:ascii="Times New Roman" w:hAnsi="Times New Roman" w:cs="Times New Roman"/>
          <w:b/>
          <w:bCs/>
          <w:color w:val="FF0000"/>
        </w:rPr>
        <w:br w:type="page"/>
      </w:r>
    </w:p>
    <w:p w:rsidR="004E7B76" w:rsidRPr="00EB7994" w:rsidRDefault="004E7B76" w:rsidP="00E776B1">
      <w:pPr>
        <w:pStyle w:val="Paragraphedeliste"/>
        <w:numPr>
          <w:ilvl w:val="0"/>
          <w:numId w:val="1"/>
        </w:numPr>
        <w:spacing w:after="120"/>
        <w:ind w:left="714" w:hanging="357"/>
        <w:jc w:val="both"/>
        <w:rPr>
          <w:rFonts w:ascii="Times New Roman" w:hAnsi="Times New Roman" w:cs="Times New Roman"/>
          <w:b/>
          <w:bCs/>
        </w:rPr>
      </w:pPr>
      <w:r w:rsidRPr="00EB7994">
        <w:rPr>
          <w:rFonts w:ascii="Times New Roman" w:hAnsi="Times New Roman" w:cs="Times New Roman"/>
          <w:b/>
          <w:bCs/>
        </w:rPr>
        <w:t>En vous appuyant sur les résultats des questions précédentes et sur l’ensemble des documents fournis, réaliser un diagnostic de l’évolution de l’activité économique et de la situation financière (notamment sur l’évolution de la  trésorerie et de l’endettement) de la SHG pour l’exercice 2015.</w:t>
      </w:r>
    </w:p>
    <w:p w:rsidR="004E7B76" w:rsidRPr="00EB7994" w:rsidRDefault="004E7B76" w:rsidP="00042B11">
      <w:pPr>
        <w:spacing w:after="120"/>
        <w:ind w:left="357"/>
        <w:jc w:val="both"/>
        <w:rPr>
          <w:rFonts w:ascii="Times New Roman" w:hAnsi="Times New Roman" w:cs="Times New Roman"/>
        </w:rPr>
      </w:pPr>
    </w:p>
    <w:p w:rsidR="004E7B76" w:rsidRPr="00EB7994" w:rsidRDefault="004E7B76" w:rsidP="00EA6152">
      <w:pPr>
        <w:ind w:left="360"/>
        <w:jc w:val="both"/>
        <w:rPr>
          <w:rFonts w:ascii="Times New Roman" w:hAnsi="Times New Roman" w:cs="Times New Roman"/>
          <w:b/>
          <w:bCs/>
        </w:rPr>
      </w:pPr>
      <w:r w:rsidRPr="00EB7994">
        <w:rPr>
          <w:rFonts w:ascii="Times New Roman" w:hAnsi="Times New Roman" w:cs="Times New Roman"/>
          <w:b/>
          <w:bCs/>
        </w:rPr>
        <w:t>Activité économique :</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La société SHG devient faiblement bénéficiaire en 2015 grâce à une progression de son chiffre d’affaires (hausse de 4,54%) nettement meilleure que la moyenne du secteur d’activité. Les ratios de profitabilité sont tous en amélioration, et plus favorables que la moyenne du secteur, que ce soit en taux de valeur ajoutée ou en part de la valeur ajoutée consacrée à la rémunération du personnel. La rentabilité économique se redresse mais reste inférieure aux valeurs du secteur.</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La maîtrise des charges a permis d’améliorer la profitabilité de l’entreprise (entre 2014 et 2015 hausse de la VA de 7,41 %, hausse de l’EBE de 27,48 %).</w:t>
      </w:r>
    </w:p>
    <w:p w:rsidR="004E7B76" w:rsidRPr="00EB7994" w:rsidRDefault="004E7B76" w:rsidP="00EA6152">
      <w:pPr>
        <w:ind w:left="360"/>
        <w:jc w:val="both"/>
        <w:rPr>
          <w:rFonts w:ascii="Times New Roman" w:hAnsi="Times New Roman" w:cs="Times New Roman"/>
          <w:b/>
          <w:bCs/>
        </w:rPr>
      </w:pPr>
      <w:r w:rsidRPr="00EB7994">
        <w:rPr>
          <w:rFonts w:ascii="Times New Roman" w:hAnsi="Times New Roman" w:cs="Times New Roman"/>
          <w:b/>
          <w:bCs/>
        </w:rPr>
        <w:t>Trésorerie, situation financière, endettement :</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 xml:space="preserve">Sur le plan de la trésorerie, cette profitabilité restaurée se retrouve au niveau de la marge brute d’autofinancement, en nette amélioration par rapport à 2014. Le BFR lié à l’activité a sensiblement augmenté ; mais le flux net de trésorerie généré par l’activité a cependant plus que doublé entre 2014 et 2015, passant de 65 603 € à 136 381 €.  </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Le flux net de trésorerie lié aux opérations d’investissement est toujours mesuré ; l’entreprise ne maintient même pas sa capacité de production (les investissements sont inférieurs aux dotations de l’année), et ce depuis au moins deux ans. Cela pourrait poser problème à l’avenir, les équipements déjà anciens devenant complètement obsolètes à terme.</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Par ailleurs l’entreprise s’est désendettée en 2015, après un léger endettement en 2014. Elle a remboursé en 2015 94 795 € de dettes financières et y a substitué en partie des capitaux propres (augmentation de capital de 50 000 € non entièrement libérée). Elle a également bénéficié d’une subvention d’investissement pour financer partiellement ses investissements de l’année. Toutefois, le taux d’endettement reste très préoccupant, avec un ratio nettement au-delà de la norme (465 % en 2015), qui est loin d’assurer l’autonomie financière de SHG. Ce ratio est certainement dû à l’érosion des capitaux propres liée aux pertes accumulées par le passé. Même si l’on considère l’endettement net (dettes financières moins trésorerie), le ratio reste très au-delà des normes.</w:t>
      </w:r>
    </w:p>
    <w:p w:rsidR="004E7B76" w:rsidRPr="00EB7994" w:rsidRDefault="004E7B76" w:rsidP="00EA6152">
      <w:pPr>
        <w:ind w:left="360"/>
        <w:jc w:val="both"/>
        <w:rPr>
          <w:rFonts w:ascii="Times New Roman" w:hAnsi="Times New Roman" w:cs="Times New Roman"/>
        </w:rPr>
      </w:pPr>
      <w:r w:rsidRPr="00EB7994">
        <w:rPr>
          <w:rFonts w:ascii="Times New Roman" w:hAnsi="Times New Roman" w:cs="Times New Roman"/>
        </w:rPr>
        <w:t xml:space="preserve">Globalement la trésorerie est stable en 2015 (en légère diminution de 4 295 €), et reste largement positive. Cela est dû à l’existence d’un BFR négatif, très fréquent dans l’activité d’hôtellerie (stocks très bas, acomptes payés par la clientèle lors de la réservation, crédit fournisseurs relativement important). </w:t>
      </w:r>
    </w:p>
    <w:p w:rsidR="004E7B76" w:rsidRPr="00EB7994" w:rsidRDefault="004E7B76" w:rsidP="00D45643">
      <w:pPr>
        <w:ind w:left="360"/>
        <w:jc w:val="both"/>
        <w:rPr>
          <w:rFonts w:ascii="Times New Roman" w:hAnsi="Times New Roman" w:cs="Times New Roman"/>
        </w:rPr>
      </w:pPr>
      <w:r w:rsidRPr="00EB7994">
        <w:rPr>
          <w:rFonts w:ascii="Times New Roman" w:hAnsi="Times New Roman" w:cs="Times New Roman"/>
        </w:rPr>
        <w:t>En résumé, la Société Hôtelière Girondine est encore convalescente ; elle vient de réaliser un premier bénéfice grâce à une hausse de son activité supérieure à celle du secteur. Mais la situation reste à conforter, au niveau de la profitabilité, de la rentabilité et surtout de l’endettement. Il faudra en outre programmer des investissements dans les années qui viennent pour améliorer la compétitivité de l’entreprise.</w:t>
      </w:r>
    </w:p>
    <w:p w:rsidR="004E7B76" w:rsidRPr="00EB7994" w:rsidRDefault="004E7B76" w:rsidP="00F53811">
      <w:pPr>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rPr>
        <w:sectPr w:rsidR="004E7B76" w:rsidRPr="00EB7994" w:rsidSect="00EB7994">
          <w:pgSz w:w="11906" w:h="16838"/>
          <w:pgMar w:top="1134" w:right="1418" w:bottom="1418" w:left="1418" w:header="709" w:footer="57" w:gutter="0"/>
          <w:cols w:space="708"/>
          <w:rtlGutter/>
          <w:docGrid w:linePitch="360"/>
        </w:sectPr>
      </w:pPr>
    </w:p>
    <w:p w:rsidR="004E7B76" w:rsidRPr="00EB7994" w:rsidRDefault="004E7B76" w:rsidP="00F53811">
      <w:pPr>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rPr>
      </w:pPr>
      <w:r w:rsidRPr="00EB7994">
        <w:rPr>
          <w:rFonts w:ascii="Times New Roman" w:hAnsi="Times New Roman" w:cs="Times New Roman"/>
        </w:rPr>
        <w:lastRenderedPageBreak/>
        <w:t xml:space="preserve"> </w:t>
      </w:r>
      <w:r w:rsidRPr="00EB7994">
        <w:rPr>
          <w:rFonts w:ascii="Times New Roman" w:hAnsi="Times New Roman" w:cs="Times New Roman"/>
          <w:b/>
          <w:bCs/>
        </w:rPr>
        <w:t>DOSSIER 2 : PLAN DE FINANCEMENT</w:t>
      </w:r>
    </w:p>
    <w:p w:rsidR="004E7B76" w:rsidRPr="00EB7994" w:rsidRDefault="004E7B76" w:rsidP="005C1522">
      <w:pPr>
        <w:pStyle w:val="Paragraphedeliste"/>
        <w:numPr>
          <w:ilvl w:val="0"/>
          <w:numId w:val="3"/>
        </w:numPr>
        <w:spacing w:after="0" w:line="240" w:lineRule="auto"/>
        <w:ind w:left="714" w:hanging="357"/>
        <w:jc w:val="both"/>
        <w:rPr>
          <w:rFonts w:ascii="Times New Roman" w:hAnsi="Times New Roman" w:cs="Times New Roman"/>
          <w:b/>
          <w:bCs/>
          <w:sz w:val="20"/>
          <w:szCs w:val="20"/>
        </w:rPr>
      </w:pPr>
      <w:r w:rsidRPr="00EB7994">
        <w:rPr>
          <w:rFonts w:ascii="Times New Roman" w:hAnsi="Times New Roman" w:cs="Times New Roman"/>
          <w:b/>
          <w:bCs/>
          <w:sz w:val="20"/>
          <w:szCs w:val="20"/>
        </w:rPr>
        <w:t>Définir le fonds de roulement normatif.</w:t>
      </w:r>
    </w:p>
    <w:p w:rsidR="00F66C92" w:rsidRPr="00F66C92" w:rsidRDefault="00F66C92" w:rsidP="005C1522">
      <w:pPr>
        <w:spacing w:after="0" w:line="240" w:lineRule="auto"/>
        <w:jc w:val="both"/>
        <w:rPr>
          <w:rFonts w:ascii="Times New Roman" w:hAnsi="Times New Roman" w:cs="Times New Roman"/>
          <w:sz w:val="10"/>
          <w:szCs w:val="10"/>
        </w:rPr>
      </w:pPr>
    </w:p>
    <w:p w:rsidR="004E7B76" w:rsidRPr="00EB7994" w:rsidRDefault="004E7B76" w:rsidP="005C1522">
      <w:pPr>
        <w:spacing w:after="0" w:line="240" w:lineRule="auto"/>
        <w:jc w:val="both"/>
        <w:rPr>
          <w:rFonts w:ascii="Times New Roman" w:hAnsi="Times New Roman" w:cs="Times New Roman"/>
          <w:sz w:val="20"/>
          <w:szCs w:val="20"/>
        </w:rPr>
      </w:pPr>
      <w:r w:rsidRPr="00EB7994">
        <w:rPr>
          <w:rFonts w:ascii="Times New Roman" w:hAnsi="Times New Roman" w:cs="Times New Roman"/>
          <w:sz w:val="20"/>
          <w:szCs w:val="20"/>
        </w:rPr>
        <w:t>C’est le fonds de roulement qui est égal au BFRE moyen.</w:t>
      </w:r>
    </w:p>
    <w:p w:rsidR="004E7B76" w:rsidRPr="00EB7994" w:rsidRDefault="004E7B76" w:rsidP="005C1522">
      <w:pPr>
        <w:spacing w:after="0" w:line="240" w:lineRule="auto"/>
        <w:jc w:val="both"/>
        <w:rPr>
          <w:rFonts w:ascii="Times New Roman" w:hAnsi="Times New Roman" w:cs="Times New Roman"/>
          <w:sz w:val="20"/>
          <w:szCs w:val="20"/>
        </w:rPr>
      </w:pPr>
    </w:p>
    <w:p w:rsidR="004E7B76" w:rsidRPr="00EB7994" w:rsidRDefault="004E7B76" w:rsidP="005C1522">
      <w:pPr>
        <w:pStyle w:val="Paragraphedeliste"/>
        <w:numPr>
          <w:ilvl w:val="0"/>
          <w:numId w:val="3"/>
        </w:numPr>
        <w:spacing w:after="0" w:line="240" w:lineRule="auto"/>
        <w:ind w:left="714" w:hanging="357"/>
        <w:jc w:val="both"/>
        <w:rPr>
          <w:rFonts w:ascii="Times New Roman" w:hAnsi="Times New Roman" w:cs="Times New Roman"/>
          <w:b/>
          <w:bCs/>
          <w:sz w:val="20"/>
          <w:szCs w:val="20"/>
        </w:rPr>
      </w:pPr>
      <w:r w:rsidRPr="00EB7994">
        <w:rPr>
          <w:rFonts w:ascii="Times New Roman" w:hAnsi="Times New Roman" w:cs="Times New Roman"/>
          <w:b/>
          <w:bCs/>
          <w:sz w:val="20"/>
          <w:szCs w:val="20"/>
        </w:rPr>
        <w:t>Rappeler l’utilité de cette méthode dans le cadre de l’établissement du plan de financement.</w:t>
      </w:r>
    </w:p>
    <w:p w:rsidR="00F66C92" w:rsidRPr="00F66C92" w:rsidRDefault="00F66C92" w:rsidP="005C1522">
      <w:pPr>
        <w:spacing w:after="0" w:line="240" w:lineRule="auto"/>
        <w:jc w:val="both"/>
        <w:rPr>
          <w:rFonts w:ascii="Times New Roman" w:hAnsi="Times New Roman" w:cs="Times New Roman"/>
          <w:sz w:val="10"/>
          <w:szCs w:val="10"/>
        </w:rPr>
      </w:pPr>
    </w:p>
    <w:p w:rsidR="004E7B76" w:rsidRPr="00EB7994" w:rsidRDefault="004E7B76" w:rsidP="005C1522">
      <w:pPr>
        <w:spacing w:after="0" w:line="240" w:lineRule="auto"/>
        <w:jc w:val="both"/>
        <w:rPr>
          <w:rFonts w:ascii="Times New Roman" w:hAnsi="Times New Roman" w:cs="Times New Roman"/>
          <w:sz w:val="20"/>
          <w:szCs w:val="20"/>
        </w:rPr>
      </w:pPr>
      <w:r w:rsidRPr="00EB7994">
        <w:rPr>
          <w:rFonts w:ascii="Times New Roman" w:hAnsi="Times New Roman" w:cs="Times New Roman"/>
          <w:sz w:val="20"/>
          <w:szCs w:val="20"/>
        </w:rPr>
        <w:t>Elle permet de déterminer le niveau moyen du BFRE (partie essentielle du BFR) de façon analytique et de l’exprimer en jours de CA.</w:t>
      </w:r>
    </w:p>
    <w:p w:rsidR="004E7B76" w:rsidRPr="00EB7994" w:rsidRDefault="004E7B76" w:rsidP="005C1522">
      <w:pPr>
        <w:spacing w:after="0" w:line="240" w:lineRule="auto"/>
        <w:jc w:val="both"/>
        <w:rPr>
          <w:rFonts w:ascii="Times New Roman" w:hAnsi="Times New Roman" w:cs="Times New Roman"/>
          <w:sz w:val="20"/>
          <w:szCs w:val="20"/>
        </w:rPr>
      </w:pPr>
      <w:r w:rsidRPr="00EB7994">
        <w:rPr>
          <w:rFonts w:ascii="Times New Roman" w:hAnsi="Times New Roman" w:cs="Times New Roman"/>
          <w:sz w:val="20"/>
          <w:szCs w:val="20"/>
        </w:rPr>
        <w:t>Il permettra ainsi d’effectuer des prévisions nécessaires à l’élaboration de plans prévisionnels (notamment le plan de financement).</w:t>
      </w:r>
    </w:p>
    <w:p w:rsidR="004E7B76" w:rsidRPr="00EB7994" w:rsidRDefault="004E7B76" w:rsidP="005C1522">
      <w:pPr>
        <w:spacing w:after="0" w:line="240" w:lineRule="auto"/>
        <w:jc w:val="both"/>
        <w:rPr>
          <w:rFonts w:ascii="Times New Roman" w:hAnsi="Times New Roman" w:cs="Times New Roman"/>
          <w:sz w:val="20"/>
          <w:szCs w:val="20"/>
        </w:rPr>
      </w:pPr>
    </w:p>
    <w:p w:rsidR="004E7B76" w:rsidRPr="00EB7994" w:rsidRDefault="004E7B76" w:rsidP="0067076B">
      <w:pPr>
        <w:pStyle w:val="Paragraphedeliste"/>
        <w:numPr>
          <w:ilvl w:val="0"/>
          <w:numId w:val="3"/>
        </w:numPr>
        <w:spacing w:after="0" w:line="240" w:lineRule="auto"/>
        <w:ind w:left="714" w:hanging="357"/>
        <w:jc w:val="both"/>
        <w:rPr>
          <w:rFonts w:ascii="Times New Roman" w:hAnsi="Times New Roman" w:cs="Times New Roman"/>
          <w:b/>
          <w:bCs/>
          <w:sz w:val="20"/>
          <w:szCs w:val="20"/>
        </w:rPr>
      </w:pPr>
      <w:r w:rsidRPr="00EB7994">
        <w:rPr>
          <w:rFonts w:ascii="Times New Roman" w:hAnsi="Times New Roman" w:cs="Times New Roman"/>
          <w:b/>
          <w:bCs/>
          <w:sz w:val="20"/>
          <w:szCs w:val="20"/>
        </w:rPr>
        <w:t>Indiquer comment il est possible d’aboutir dans le cas de l’entreprise NEW SHOES à un BFR prévisionnel négatif. Que signifie-t-il ?</w:t>
      </w:r>
    </w:p>
    <w:p w:rsidR="00F66C92" w:rsidRPr="00F66C92" w:rsidRDefault="00F66C92" w:rsidP="00F66C92">
      <w:pPr>
        <w:spacing w:after="0" w:line="240" w:lineRule="auto"/>
        <w:jc w:val="both"/>
        <w:rPr>
          <w:rFonts w:ascii="Times New Roman" w:hAnsi="Times New Roman" w:cs="Times New Roman"/>
          <w:sz w:val="10"/>
          <w:szCs w:val="10"/>
        </w:rPr>
      </w:pPr>
    </w:p>
    <w:p w:rsidR="004E7B76" w:rsidRPr="00EB7994" w:rsidRDefault="004E7B76" w:rsidP="00F66C92">
      <w:pPr>
        <w:spacing w:after="0" w:line="240" w:lineRule="auto"/>
        <w:jc w:val="both"/>
        <w:rPr>
          <w:rFonts w:ascii="Times New Roman" w:hAnsi="Times New Roman" w:cs="Times New Roman"/>
          <w:sz w:val="20"/>
          <w:szCs w:val="20"/>
        </w:rPr>
      </w:pPr>
      <w:r w:rsidRPr="00EB7994">
        <w:rPr>
          <w:rFonts w:ascii="Times New Roman" w:hAnsi="Times New Roman" w:cs="Times New Roman"/>
          <w:sz w:val="20"/>
          <w:szCs w:val="20"/>
        </w:rPr>
        <w:t>Lorsque la durée d’écoulement des stocks et la durée du crédit client sont très courtes, et bien inférieures à la durée du crédit fournisseurs, on peut obtenir globalement une ressource de financement (RFR). C’est le cas ici : les ventes sont encaissées intégralement avant la livraison, les stocks détenus par la société NEW SHOES financés par les fournisseurs.</w:t>
      </w:r>
    </w:p>
    <w:p w:rsidR="004E7B76" w:rsidRPr="00EB7994" w:rsidRDefault="004E7B76" w:rsidP="0067076B">
      <w:pPr>
        <w:spacing w:after="0" w:line="240" w:lineRule="auto"/>
        <w:jc w:val="both"/>
        <w:rPr>
          <w:rFonts w:ascii="Times New Roman" w:hAnsi="Times New Roman" w:cs="Times New Roman"/>
          <w:b/>
          <w:bCs/>
          <w:sz w:val="20"/>
          <w:szCs w:val="20"/>
        </w:rPr>
      </w:pPr>
    </w:p>
    <w:p w:rsidR="004E7B76" w:rsidRDefault="004E7B76" w:rsidP="005C1522">
      <w:pPr>
        <w:pStyle w:val="Paragraphedeliste"/>
        <w:numPr>
          <w:ilvl w:val="0"/>
          <w:numId w:val="3"/>
        </w:numPr>
        <w:spacing w:after="0" w:line="240" w:lineRule="auto"/>
        <w:jc w:val="both"/>
        <w:rPr>
          <w:rFonts w:ascii="Times New Roman" w:hAnsi="Times New Roman" w:cs="Times New Roman"/>
          <w:b/>
          <w:bCs/>
          <w:sz w:val="20"/>
          <w:szCs w:val="20"/>
        </w:rPr>
      </w:pPr>
      <w:r w:rsidRPr="00EB7994">
        <w:rPr>
          <w:rFonts w:ascii="Times New Roman" w:hAnsi="Times New Roman" w:cs="Times New Roman"/>
          <w:b/>
          <w:bCs/>
          <w:sz w:val="20"/>
          <w:szCs w:val="20"/>
        </w:rPr>
        <w:t>Présenter le plan de financement initial de la société NEW SHOES pour les années 2017 à 2019 (annexe C à rendre avec la copie). Commenter brièvement.</w:t>
      </w:r>
    </w:p>
    <w:p w:rsidR="00F66C92" w:rsidRPr="00F66C92" w:rsidRDefault="00F66C92" w:rsidP="00F66C92">
      <w:pPr>
        <w:pStyle w:val="Paragraphedeliste"/>
        <w:spacing w:after="0" w:line="240" w:lineRule="auto"/>
        <w:jc w:val="both"/>
        <w:rPr>
          <w:rFonts w:ascii="Times New Roman" w:hAnsi="Times New Roman" w:cs="Times New Roman"/>
          <w:b/>
          <w:bCs/>
          <w:sz w:val="10"/>
          <w:szCs w:val="10"/>
        </w:rPr>
      </w:pPr>
    </w:p>
    <w:p w:rsidR="004E7B76" w:rsidRPr="00EB7994" w:rsidRDefault="004E7B76" w:rsidP="006B2E8F">
      <w:pPr>
        <w:pStyle w:val="Paragraphedeliste"/>
        <w:numPr>
          <w:ilvl w:val="0"/>
          <w:numId w:val="38"/>
        </w:numPr>
        <w:spacing w:after="0" w:line="240" w:lineRule="auto"/>
        <w:jc w:val="both"/>
        <w:rPr>
          <w:rFonts w:ascii="Times New Roman" w:hAnsi="Times New Roman" w:cs="Times New Roman"/>
          <w:sz w:val="20"/>
          <w:szCs w:val="20"/>
        </w:rPr>
      </w:pPr>
      <w:r w:rsidRPr="00EB7994">
        <w:rPr>
          <w:rFonts w:ascii="Times New Roman" w:hAnsi="Times New Roman" w:cs="Times New Roman"/>
          <w:sz w:val="20"/>
          <w:szCs w:val="20"/>
        </w:rPr>
        <w:t>Calculs préalables :</w:t>
      </w:r>
    </w:p>
    <w:p w:rsidR="004E7B76" w:rsidRPr="00EB7994" w:rsidRDefault="004E7B76" w:rsidP="001E0276">
      <w:pPr>
        <w:spacing w:after="0" w:line="240" w:lineRule="auto"/>
        <w:ind w:left="357"/>
        <w:jc w:val="both"/>
        <w:rPr>
          <w:rFonts w:ascii="Times New Roman" w:hAnsi="Times New Roman" w:cs="Times New Roman"/>
          <w:sz w:val="20"/>
          <w:szCs w:val="20"/>
        </w:rPr>
      </w:pPr>
      <w:r w:rsidRPr="00EB7994">
        <w:rPr>
          <w:rFonts w:ascii="Times New Roman" w:hAnsi="Times New Roman" w:cs="Times New Roman"/>
          <w:sz w:val="20"/>
          <w:szCs w:val="20"/>
        </w:rPr>
        <w:t>Dotations aux amortissements : (1 000 000 + 250 000)*1/10 = 125 000</w:t>
      </w:r>
    </w:p>
    <w:p w:rsidR="004E7B76" w:rsidRPr="00EB7994" w:rsidRDefault="004E7B76" w:rsidP="006B2E8F">
      <w:pPr>
        <w:pStyle w:val="Paragraphedeliste"/>
        <w:numPr>
          <w:ilvl w:val="0"/>
          <w:numId w:val="38"/>
        </w:numPr>
        <w:spacing w:after="0" w:line="240" w:lineRule="auto"/>
        <w:rPr>
          <w:rFonts w:ascii="Times New Roman" w:hAnsi="Times New Roman" w:cs="Times New Roman"/>
          <w:sz w:val="20"/>
          <w:szCs w:val="20"/>
        </w:rPr>
      </w:pPr>
      <w:r w:rsidRPr="00EB7994">
        <w:rPr>
          <w:rFonts w:ascii="Times New Roman" w:hAnsi="Times New Roman" w:cs="Times New Roman"/>
          <w:sz w:val="20"/>
          <w:szCs w:val="20"/>
        </w:rPr>
        <w:t xml:space="preserve">Calcul de la CAF prévisionnelle :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458"/>
        <w:gridCol w:w="1560"/>
        <w:gridCol w:w="1417"/>
        <w:gridCol w:w="1417"/>
      </w:tblGrid>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p>
        </w:tc>
        <w:tc>
          <w:tcPr>
            <w:tcW w:w="1458"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2017</w:t>
            </w:r>
          </w:p>
        </w:tc>
        <w:tc>
          <w:tcPr>
            <w:tcW w:w="1560"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2018</w:t>
            </w:r>
          </w:p>
        </w:tc>
        <w:tc>
          <w:tcPr>
            <w:tcW w:w="1417"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2019</w:t>
            </w:r>
          </w:p>
        </w:tc>
        <w:tc>
          <w:tcPr>
            <w:tcW w:w="1417" w:type="dxa"/>
            <w:tcBorders>
              <w:top w:val="nil"/>
              <w:bottom w:val="nil"/>
              <w:right w:val="nil"/>
            </w:tcBorders>
          </w:tcPr>
          <w:p w:rsidR="004E7B76" w:rsidRPr="00EB7994" w:rsidRDefault="004E7B76" w:rsidP="00266F2A">
            <w:pPr>
              <w:spacing w:after="0" w:line="240" w:lineRule="auto"/>
              <w:jc w:val="center"/>
              <w:rPr>
                <w:rFonts w:ascii="Times New Roman" w:hAnsi="Times New Roman" w:cs="Times New Roman"/>
                <w:b/>
                <w:bCs/>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Chiffre d’affaires</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1 200 000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1 400 000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1 700 000</w:t>
            </w:r>
          </w:p>
        </w:tc>
        <w:tc>
          <w:tcPr>
            <w:tcW w:w="1417" w:type="dxa"/>
            <w:tcBorders>
              <w:top w:val="nil"/>
              <w:bottom w:val="nil"/>
              <w:right w:val="nil"/>
            </w:tcBorders>
          </w:tcPr>
          <w:p w:rsidR="004E7B76" w:rsidRPr="00EB7994" w:rsidRDefault="004E7B76" w:rsidP="00266F2A">
            <w:pPr>
              <w:spacing w:after="0" w:line="240" w:lineRule="auto"/>
              <w:ind w:right="83"/>
              <w:jc w:val="right"/>
              <w:rPr>
                <w:rFonts w:ascii="Times New Roman" w:hAnsi="Times New Roman" w:cs="Times New Roman"/>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EBE : 20% du CA</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240 000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280 000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340 000</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Dotations aux amortissements</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Résultat avant impôt</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115 000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155 000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215 000</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Impôt 33 1/3%</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-38 333</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-51 667</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-71 667</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Résultat après impôt</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76 667</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103 333</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143 333</w:t>
            </w:r>
          </w:p>
        </w:tc>
        <w:tc>
          <w:tcPr>
            <w:tcW w:w="1417" w:type="dxa"/>
            <w:tcBorders>
              <w:top w:val="nil"/>
              <w:bottom w:val="nil"/>
              <w:right w:val="nil"/>
            </w:tcBorders>
          </w:tcPr>
          <w:p w:rsidR="004E7B76" w:rsidRPr="00EB7994" w:rsidRDefault="004E7B76" w:rsidP="00266F2A">
            <w:pPr>
              <w:spacing w:after="0" w:line="240" w:lineRule="auto"/>
              <w:ind w:right="83"/>
              <w:jc w:val="right"/>
              <w:rPr>
                <w:rFonts w:ascii="Times New Roman" w:hAnsi="Times New Roman" w:cs="Times New Roman"/>
                <w:b/>
                <w:bCs/>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Dotations aux amortissements</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125 000</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CAF prévisionnelle</w:t>
            </w:r>
          </w:p>
        </w:tc>
        <w:tc>
          <w:tcPr>
            <w:tcW w:w="1458" w:type="dxa"/>
          </w:tcPr>
          <w:p w:rsidR="004E7B76" w:rsidRPr="00EB7994" w:rsidRDefault="004E7B76" w:rsidP="00266F2A">
            <w:pPr>
              <w:spacing w:after="0" w:line="240" w:lineRule="auto"/>
              <w:ind w:right="83"/>
              <w:jc w:val="right"/>
              <w:rPr>
                <w:rFonts w:ascii="Times New Roman" w:hAnsi="Times New Roman" w:cs="Times New Roman"/>
                <w:b/>
                <w:bCs/>
              </w:rPr>
            </w:pPr>
            <w:r w:rsidRPr="00EB7994">
              <w:rPr>
                <w:rFonts w:ascii="Times New Roman" w:hAnsi="Times New Roman" w:cs="Times New Roman"/>
                <w:b/>
                <w:bCs/>
              </w:rPr>
              <w:t>201 667</w:t>
            </w:r>
          </w:p>
        </w:tc>
        <w:tc>
          <w:tcPr>
            <w:tcW w:w="1560" w:type="dxa"/>
          </w:tcPr>
          <w:p w:rsidR="004E7B76" w:rsidRPr="00EB7994" w:rsidRDefault="004E7B76" w:rsidP="00266F2A">
            <w:pPr>
              <w:spacing w:after="0" w:line="240" w:lineRule="auto"/>
              <w:ind w:right="83"/>
              <w:jc w:val="right"/>
              <w:rPr>
                <w:rFonts w:ascii="Times New Roman" w:hAnsi="Times New Roman" w:cs="Times New Roman"/>
                <w:b/>
                <w:bCs/>
              </w:rPr>
            </w:pPr>
            <w:r w:rsidRPr="00EB7994">
              <w:rPr>
                <w:rFonts w:ascii="Times New Roman" w:hAnsi="Times New Roman" w:cs="Times New Roman"/>
                <w:b/>
                <w:bCs/>
              </w:rPr>
              <w:t>228 333</w:t>
            </w:r>
          </w:p>
        </w:tc>
        <w:tc>
          <w:tcPr>
            <w:tcW w:w="1417" w:type="dxa"/>
          </w:tcPr>
          <w:p w:rsidR="004E7B76" w:rsidRPr="00EB7994" w:rsidRDefault="004E7B76" w:rsidP="00266F2A">
            <w:pPr>
              <w:spacing w:after="0" w:line="240" w:lineRule="auto"/>
              <w:ind w:right="83"/>
              <w:jc w:val="right"/>
              <w:rPr>
                <w:rFonts w:ascii="Times New Roman" w:hAnsi="Times New Roman" w:cs="Times New Roman"/>
                <w:b/>
                <w:bCs/>
              </w:rPr>
            </w:pPr>
            <w:r w:rsidRPr="00EB7994">
              <w:rPr>
                <w:rFonts w:ascii="Times New Roman" w:hAnsi="Times New Roman" w:cs="Times New Roman"/>
                <w:b/>
                <w:bCs/>
              </w:rPr>
              <w:t>268 333</w:t>
            </w:r>
          </w:p>
        </w:tc>
        <w:tc>
          <w:tcPr>
            <w:tcW w:w="1417" w:type="dxa"/>
            <w:tcBorders>
              <w:top w:val="nil"/>
              <w:bottom w:val="nil"/>
              <w:right w:val="nil"/>
            </w:tcBorders>
          </w:tcPr>
          <w:p w:rsidR="004E7B76" w:rsidRPr="00EB7994" w:rsidRDefault="004E7B76" w:rsidP="00266F2A">
            <w:pPr>
              <w:spacing w:after="0" w:line="240" w:lineRule="auto"/>
              <w:ind w:right="83"/>
              <w:rPr>
                <w:rFonts w:ascii="Times New Roman" w:hAnsi="Times New Roman" w:cs="Times New Roman"/>
                <w:b/>
                <w:bCs/>
                <w:color w:val="FF0000"/>
              </w:rPr>
            </w:pPr>
          </w:p>
        </w:tc>
      </w:tr>
    </w:tbl>
    <w:p w:rsidR="004E7B76" w:rsidRPr="00EB7994" w:rsidRDefault="004E7B76" w:rsidP="006B2E8F">
      <w:pPr>
        <w:pStyle w:val="Paragraphedeliste"/>
        <w:numPr>
          <w:ilvl w:val="0"/>
          <w:numId w:val="37"/>
        </w:numPr>
        <w:spacing w:after="0" w:line="240" w:lineRule="auto"/>
        <w:jc w:val="both"/>
        <w:rPr>
          <w:rFonts w:ascii="Times New Roman" w:hAnsi="Times New Roman" w:cs="Times New Roman"/>
          <w:b/>
          <w:bCs/>
          <w:color w:val="FF0000"/>
        </w:rPr>
      </w:pPr>
      <w:r w:rsidRPr="00EB7994">
        <w:rPr>
          <w:rFonts w:ascii="Times New Roman" w:hAnsi="Times New Roman" w:cs="Times New Roman"/>
        </w:rPr>
        <w:t xml:space="preserve">Calcul du dégagement de fonds de roulement :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458"/>
        <w:gridCol w:w="1560"/>
        <w:gridCol w:w="1417"/>
      </w:tblGrid>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p>
        </w:tc>
        <w:tc>
          <w:tcPr>
            <w:tcW w:w="1458"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2017</w:t>
            </w:r>
          </w:p>
        </w:tc>
        <w:tc>
          <w:tcPr>
            <w:tcW w:w="1560"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2018</w:t>
            </w:r>
          </w:p>
        </w:tc>
        <w:tc>
          <w:tcPr>
            <w:tcW w:w="1417"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2019</w:t>
            </w: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Chiffre d’affaires</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1 200 000</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1 400 000</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1 700 000</w:t>
            </w: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BFR : CA*-10/360</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-33 333</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-38 889</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-47 222</w:t>
            </w: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Variation de BFR</w:t>
            </w:r>
          </w:p>
        </w:tc>
        <w:tc>
          <w:tcPr>
            <w:tcW w:w="1458"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-33 333</w:t>
            </w:r>
          </w:p>
        </w:tc>
        <w:tc>
          <w:tcPr>
            <w:tcW w:w="1560"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-5 556</w:t>
            </w:r>
          </w:p>
        </w:tc>
        <w:tc>
          <w:tcPr>
            <w:tcW w:w="1417" w:type="dxa"/>
          </w:tcPr>
          <w:p w:rsidR="004E7B76" w:rsidRPr="00EB7994" w:rsidRDefault="004E7B76" w:rsidP="00266F2A">
            <w:pPr>
              <w:spacing w:after="0" w:line="240" w:lineRule="auto"/>
              <w:ind w:right="83"/>
              <w:jc w:val="right"/>
              <w:rPr>
                <w:rFonts w:ascii="Times New Roman" w:hAnsi="Times New Roman" w:cs="Times New Roman"/>
              </w:rPr>
            </w:pPr>
            <w:r w:rsidRPr="00EB7994">
              <w:rPr>
                <w:rFonts w:ascii="Times New Roman" w:hAnsi="Times New Roman" w:cs="Times New Roman"/>
              </w:rPr>
              <w:t>-8 333</w:t>
            </w:r>
          </w:p>
        </w:tc>
      </w:tr>
    </w:tbl>
    <w:p w:rsidR="004E7B76" w:rsidRPr="00EB7994" w:rsidRDefault="004E7B76" w:rsidP="006B2E8F">
      <w:pPr>
        <w:pStyle w:val="Paragraphedeliste"/>
        <w:numPr>
          <w:ilvl w:val="0"/>
          <w:numId w:val="37"/>
        </w:numPr>
        <w:spacing w:after="0" w:line="240" w:lineRule="auto"/>
        <w:jc w:val="both"/>
        <w:rPr>
          <w:rFonts w:ascii="Times New Roman" w:hAnsi="Times New Roman" w:cs="Times New Roman"/>
        </w:rPr>
      </w:pPr>
      <w:r w:rsidRPr="00EB7994">
        <w:rPr>
          <w:rFonts w:ascii="Times New Roman" w:hAnsi="Times New Roman" w:cs="Times New Roman"/>
        </w:rPr>
        <w:t>Plan de financement initial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452"/>
        <w:gridCol w:w="1560"/>
        <w:gridCol w:w="1431"/>
        <w:gridCol w:w="1431"/>
      </w:tblGrid>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p>
        </w:tc>
        <w:tc>
          <w:tcPr>
            <w:tcW w:w="1452"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2017</w:t>
            </w:r>
          </w:p>
        </w:tc>
        <w:tc>
          <w:tcPr>
            <w:tcW w:w="1560"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2018</w:t>
            </w:r>
          </w:p>
        </w:tc>
        <w:tc>
          <w:tcPr>
            <w:tcW w:w="1431"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2019</w:t>
            </w:r>
          </w:p>
        </w:tc>
        <w:tc>
          <w:tcPr>
            <w:tcW w:w="1431" w:type="dxa"/>
            <w:tcBorders>
              <w:top w:val="nil"/>
              <w:bottom w:val="nil"/>
              <w:right w:val="nil"/>
            </w:tcBorders>
          </w:tcPr>
          <w:p w:rsidR="004E7B76" w:rsidRPr="00EB7994" w:rsidRDefault="004E7B76" w:rsidP="00266F2A">
            <w:pPr>
              <w:spacing w:after="0" w:line="240" w:lineRule="auto"/>
              <w:jc w:val="center"/>
              <w:rPr>
                <w:rFonts w:ascii="Times New Roman" w:hAnsi="Times New Roman" w:cs="Times New Roman"/>
                <w:b/>
                <w:bCs/>
              </w:rPr>
            </w:pPr>
          </w:p>
        </w:tc>
      </w:tr>
      <w:tr w:rsidR="004E7B76" w:rsidRPr="00EB7994">
        <w:tc>
          <w:tcPr>
            <w:tcW w:w="3012" w:type="dxa"/>
            <w:tcBorders>
              <w:bottom w:val="nil"/>
            </w:tcBorders>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Ressources</w:t>
            </w:r>
          </w:p>
        </w:tc>
        <w:tc>
          <w:tcPr>
            <w:tcW w:w="1452"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560"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431"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jc w:val="both"/>
              <w:rPr>
                <w:rFonts w:ascii="Times New Roman" w:hAnsi="Times New Roman" w:cs="Times New Roman"/>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CAF</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201 667</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228 333</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268 333</w:t>
            </w:r>
          </w:p>
        </w:tc>
        <w:tc>
          <w:tcPr>
            <w:tcW w:w="1431" w:type="dxa"/>
            <w:tcBorders>
              <w:top w:val="nil"/>
              <w:bottom w:val="nil"/>
              <w:right w:val="nil"/>
            </w:tcBorders>
          </w:tcPr>
          <w:p w:rsidR="004E7B76" w:rsidRPr="00EB7994" w:rsidRDefault="004E7B76" w:rsidP="00266F2A">
            <w:pPr>
              <w:spacing w:after="0" w:line="240" w:lineRule="auto"/>
              <w:ind w:right="175"/>
              <w:jc w:val="right"/>
              <w:rPr>
                <w:rFonts w:ascii="Times New Roman" w:hAnsi="Times New Roman" w:cs="Times New Roman"/>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Dégagement de FDR</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33 333</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5 556</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8 333</w:t>
            </w:r>
          </w:p>
        </w:tc>
        <w:tc>
          <w:tcPr>
            <w:tcW w:w="1431" w:type="dxa"/>
            <w:tcBorders>
              <w:top w:val="nil"/>
              <w:bottom w:val="nil"/>
              <w:right w:val="nil"/>
            </w:tcBorders>
          </w:tcPr>
          <w:p w:rsidR="004E7B76" w:rsidRPr="00EB7994" w:rsidRDefault="004E7B76" w:rsidP="00266F2A">
            <w:pPr>
              <w:spacing w:after="0" w:line="240" w:lineRule="auto"/>
              <w:ind w:right="175"/>
              <w:jc w:val="right"/>
              <w:rPr>
                <w:rFonts w:ascii="Times New Roman" w:hAnsi="Times New Roman" w:cs="Times New Roman"/>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Total ressources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235 000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233 889</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276 666</w:t>
            </w:r>
          </w:p>
        </w:tc>
        <w:tc>
          <w:tcPr>
            <w:tcW w:w="1431" w:type="dxa"/>
            <w:tcBorders>
              <w:top w:val="nil"/>
              <w:bottom w:val="nil"/>
              <w:right w:val="nil"/>
            </w:tcBorders>
          </w:tcPr>
          <w:p w:rsidR="004E7B76" w:rsidRPr="00EB7994" w:rsidRDefault="004E7B76" w:rsidP="00266F2A">
            <w:pPr>
              <w:spacing w:after="0" w:line="240" w:lineRule="auto"/>
              <w:ind w:right="175"/>
              <w:jc w:val="right"/>
              <w:rPr>
                <w:rFonts w:ascii="Times New Roman" w:hAnsi="Times New Roman" w:cs="Times New Roman"/>
                <w:b/>
                <w:bCs/>
              </w:rPr>
            </w:pPr>
          </w:p>
        </w:tc>
      </w:tr>
      <w:tr w:rsidR="004E7B76" w:rsidRPr="00EB7994">
        <w:tc>
          <w:tcPr>
            <w:tcW w:w="3012" w:type="dxa"/>
            <w:tcBorders>
              <w:bottom w:val="nil"/>
            </w:tcBorders>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Emplois</w:t>
            </w:r>
          </w:p>
        </w:tc>
        <w:tc>
          <w:tcPr>
            <w:tcW w:w="1452"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560"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431"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431" w:type="dxa"/>
            <w:tcBorders>
              <w:top w:val="nil"/>
              <w:bottom w:val="nil"/>
              <w:right w:val="nil"/>
            </w:tcBorders>
          </w:tcPr>
          <w:p w:rsidR="004E7B76" w:rsidRPr="00EB7994" w:rsidRDefault="004E7B76" w:rsidP="00266F2A">
            <w:pPr>
              <w:spacing w:after="0" w:line="240" w:lineRule="auto"/>
              <w:ind w:right="175"/>
              <w:jc w:val="right"/>
              <w:rPr>
                <w:rFonts w:ascii="Times New Roman" w:hAnsi="Times New Roman" w:cs="Times New Roman"/>
                <w:b/>
                <w:bCs/>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Investissements</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1 250 000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Dépôt de garantie crédit-bail</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15 000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Distribution de dividendes</w:t>
            </w:r>
          </w:p>
        </w:tc>
        <w:tc>
          <w:tcPr>
            <w:tcW w:w="1452" w:type="dxa"/>
            <w:tcBorders>
              <w:top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560" w:type="dxa"/>
            <w:tcBorders>
              <w:top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50 000</w:t>
            </w:r>
          </w:p>
        </w:tc>
        <w:tc>
          <w:tcPr>
            <w:tcW w:w="1431" w:type="dxa"/>
            <w:tcBorders>
              <w:top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50 000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Total emplois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1 265 000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50 000</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50 000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Ressources moins emplois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-1 030 000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183 889</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226 666</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Trésorerie initiale</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50 000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-980 000</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-796 111</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Trésorerie finale</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-980 000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-796 111</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-569 445</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bl>
    <w:p w:rsidR="004E7B76" w:rsidRPr="00F66C92" w:rsidRDefault="004E7B76" w:rsidP="006B2E8F">
      <w:pPr>
        <w:spacing w:after="0" w:line="240" w:lineRule="auto"/>
        <w:jc w:val="both"/>
        <w:rPr>
          <w:rFonts w:ascii="Times New Roman" w:hAnsi="Times New Roman" w:cs="Times New Roman"/>
          <w:sz w:val="10"/>
          <w:szCs w:val="10"/>
        </w:rPr>
      </w:pPr>
    </w:p>
    <w:p w:rsidR="004E7B76" w:rsidRPr="00EB7994" w:rsidRDefault="004E7B76" w:rsidP="006B2E8F">
      <w:pPr>
        <w:spacing w:after="0" w:line="240" w:lineRule="auto"/>
        <w:jc w:val="both"/>
        <w:rPr>
          <w:rFonts w:ascii="Times New Roman" w:hAnsi="Times New Roman" w:cs="Times New Roman"/>
        </w:rPr>
      </w:pPr>
      <w:r w:rsidRPr="00EB7994">
        <w:rPr>
          <w:rFonts w:ascii="Times New Roman" w:hAnsi="Times New Roman" w:cs="Times New Roman"/>
        </w:rPr>
        <w:t>Le plan de financement fait apparaître une trésorerie fortement négative en fin de 1</w:t>
      </w:r>
      <w:r w:rsidRPr="00EB7994">
        <w:rPr>
          <w:rFonts w:ascii="Times New Roman" w:hAnsi="Times New Roman" w:cs="Times New Roman"/>
          <w:vertAlign w:val="superscript"/>
        </w:rPr>
        <w:t>ère</w:t>
      </w:r>
      <w:r w:rsidRPr="00EB7994">
        <w:rPr>
          <w:rFonts w:ascii="Times New Roman" w:hAnsi="Times New Roman" w:cs="Times New Roman"/>
        </w:rPr>
        <w:t xml:space="preserve"> année ; ce déficit de trésorerie ne se résorbe qu’en 2019 pour devenir un excédent confortable, signe de la rentabilité du projet. Il faut toutefois mettre en place un financement complémentaire en 2017. </w:t>
      </w:r>
    </w:p>
    <w:p w:rsidR="004E7B76" w:rsidRPr="00EB7994" w:rsidRDefault="004E7B76" w:rsidP="006B2E8F">
      <w:pPr>
        <w:spacing w:after="0" w:line="240" w:lineRule="auto"/>
        <w:jc w:val="both"/>
        <w:rPr>
          <w:rFonts w:ascii="Times New Roman" w:hAnsi="Times New Roman" w:cs="Times New Roman"/>
        </w:rPr>
      </w:pPr>
    </w:p>
    <w:p w:rsidR="004E7B76" w:rsidRPr="00EB7994" w:rsidRDefault="004E7B76" w:rsidP="006B2E8F">
      <w:pPr>
        <w:pStyle w:val="Paragraphedeliste"/>
        <w:numPr>
          <w:ilvl w:val="0"/>
          <w:numId w:val="3"/>
        </w:numPr>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 xml:space="preserve">Présenter le plan de financement définitif intégrant le financement par emprunt (annexe C à rendre avec la copie). Conclure sur la faisabilité du projet. </w:t>
      </w:r>
    </w:p>
    <w:p w:rsidR="004E7B76" w:rsidRPr="00EB7994" w:rsidRDefault="004E7B76" w:rsidP="006B2E8F">
      <w:pPr>
        <w:pStyle w:val="Paragraphedeliste"/>
        <w:spacing w:after="0" w:line="240" w:lineRule="auto"/>
        <w:ind w:left="714"/>
        <w:jc w:val="both"/>
        <w:rPr>
          <w:rFonts w:ascii="Times New Roman" w:hAnsi="Times New Roman" w:cs="Times New Roman"/>
          <w:b/>
          <w:bCs/>
        </w:rPr>
      </w:pPr>
    </w:p>
    <w:p w:rsidR="004E7B76" w:rsidRPr="00EB7994" w:rsidRDefault="004E7B76" w:rsidP="00C6511D">
      <w:pPr>
        <w:jc w:val="both"/>
        <w:rPr>
          <w:rFonts w:ascii="Times New Roman" w:hAnsi="Times New Roman" w:cs="Times New Roman"/>
          <w:b/>
          <w:bCs/>
        </w:rPr>
      </w:pPr>
      <w:r w:rsidRPr="00EB7994">
        <w:rPr>
          <w:rFonts w:ascii="Times New Roman" w:hAnsi="Times New Roman" w:cs="Times New Roman"/>
          <w:b/>
          <w:bCs/>
        </w:rPr>
        <w:t>Plan de financement révisé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2"/>
        <w:gridCol w:w="1452"/>
        <w:gridCol w:w="1560"/>
        <w:gridCol w:w="1431"/>
        <w:gridCol w:w="1431"/>
      </w:tblGrid>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rPr>
            </w:pPr>
          </w:p>
        </w:tc>
        <w:tc>
          <w:tcPr>
            <w:tcW w:w="1452"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2017</w:t>
            </w:r>
          </w:p>
        </w:tc>
        <w:tc>
          <w:tcPr>
            <w:tcW w:w="1560"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2018</w:t>
            </w:r>
          </w:p>
        </w:tc>
        <w:tc>
          <w:tcPr>
            <w:tcW w:w="1431" w:type="dxa"/>
          </w:tcPr>
          <w:p w:rsidR="004E7B76" w:rsidRPr="00EB7994" w:rsidRDefault="004E7B76" w:rsidP="00266F2A">
            <w:pPr>
              <w:spacing w:after="0" w:line="240" w:lineRule="auto"/>
              <w:jc w:val="center"/>
              <w:rPr>
                <w:rFonts w:ascii="Times New Roman" w:hAnsi="Times New Roman" w:cs="Times New Roman"/>
                <w:b/>
                <w:bCs/>
              </w:rPr>
            </w:pPr>
            <w:r w:rsidRPr="00EB7994">
              <w:rPr>
                <w:rFonts w:ascii="Times New Roman" w:hAnsi="Times New Roman" w:cs="Times New Roman"/>
                <w:b/>
                <w:bCs/>
              </w:rPr>
              <w:t>2019</w:t>
            </w:r>
          </w:p>
        </w:tc>
        <w:tc>
          <w:tcPr>
            <w:tcW w:w="1431" w:type="dxa"/>
            <w:tcBorders>
              <w:top w:val="nil"/>
              <w:bottom w:val="nil"/>
              <w:right w:val="nil"/>
            </w:tcBorders>
          </w:tcPr>
          <w:p w:rsidR="004E7B76" w:rsidRPr="00EB7994" w:rsidRDefault="004E7B76" w:rsidP="00266F2A">
            <w:pPr>
              <w:spacing w:after="0" w:line="240" w:lineRule="auto"/>
              <w:jc w:val="center"/>
              <w:rPr>
                <w:rFonts w:ascii="Times New Roman" w:hAnsi="Times New Roman" w:cs="Times New Roman"/>
                <w:b/>
                <w:bCs/>
              </w:rPr>
            </w:pPr>
          </w:p>
        </w:tc>
      </w:tr>
      <w:tr w:rsidR="004E7B76" w:rsidRPr="00EB7994">
        <w:tc>
          <w:tcPr>
            <w:tcW w:w="3012" w:type="dxa"/>
            <w:tcBorders>
              <w:bottom w:val="nil"/>
            </w:tcBorders>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 xml:space="preserve">Ressources </w:t>
            </w:r>
          </w:p>
        </w:tc>
        <w:tc>
          <w:tcPr>
            <w:tcW w:w="1452"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560"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431" w:type="dxa"/>
            <w:tcBorders>
              <w:bottom w:val="nil"/>
            </w:tcBorders>
          </w:tcPr>
          <w:p w:rsidR="004E7B76" w:rsidRPr="00EB7994" w:rsidRDefault="004E7B76" w:rsidP="00266F2A">
            <w:pPr>
              <w:spacing w:after="0" w:line="240" w:lineRule="auto"/>
              <w:jc w:val="both"/>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jc w:val="both"/>
              <w:rPr>
                <w:rFonts w:ascii="Times New Roman" w:hAnsi="Times New Roman" w:cs="Times New Roman"/>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Ressources du plan initial</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235 000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233 889</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276 666</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Emprunt</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240 000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Augmentation de capital</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750 000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Intérêts de l’emprunt nets d’impôts (1)</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-9 600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-7 200</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-4 800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Total ressources révisées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1 215 400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226 689</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271 866</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bottom w:val="nil"/>
            </w:tcBorders>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Emplois</w:t>
            </w:r>
          </w:p>
        </w:tc>
        <w:tc>
          <w:tcPr>
            <w:tcW w:w="1452"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560"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431" w:type="dxa"/>
            <w:tcBorders>
              <w:bottom w:val="nil"/>
            </w:tcBorders>
          </w:tcPr>
          <w:p w:rsidR="004E7B76" w:rsidRPr="00EB7994" w:rsidRDefault="004E7B76" w:rsidP="00266F2A">
            <w:pPr>
              <w:spacing w:after="0" w:line="240" w:lineRule="auto"/>
              <w:ind w:right="175"/>
              <w:jc w:val="right"/>
              <w:rPr>
                <w:rFonts w:ascii="Times New Roman" w:hAnsi="Times New Roman" w:cs="Times New Roman"/>
                <w:b/>
                <w:bCs/>
              </w:rPr>
            </w:pP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Emplois du plan initial</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1 265 000</w:t>
            </w: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50 000</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50 000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Borders>
              <w:top w:val="nil"/>
              <w:bottom w:val="nil"/>
            </w:tcBorders>
          </w:tcPr>
          <w:p w:rsidR="004E7B76" w:rsidRPr="00EB7994" w:rsidRDefault="004E7B76" w:rsidP="00266F2A">
            <w:pPr>
              <w:spacing w:after="0" w:line="240" w:lineRule="auto"/>
              <w:jc w:val="both"/>
              <w:rPr>
                <w:rFonts w:ascii="Times New Roman" w:hAnsi="Times New Roman" w:cs="Times New Roman"/>
              </w:rPr>
            </w:pPr>
            <w:r w:rsidRPr="00EB7994">
              <w:rPr>
                <w:rFonts w:ascii="Times New Roman" w:hAnsi="Times New Roman" w:cs="Times New Roman"/>
              </w:rPr>
              <w:t>Remboursement de l’emprunt</w:t>
            </w:r>
          </w:p>
        </w:tc>
        <w:tc>
          <w:tcPr>
            <w:tcW w:w="1452"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p>
        </w:tc>
        <w:tc>
          <w:tcPr>
            <w:tcW w:w="1560"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60 000</w:t>
            </w:r>
          </w:p>
        </w:tc>
        <w:tc>
          <w:tcPr>
            <w:tcW w:w="1431" w:type="dxa"/>
            <w:tcBorders>
              <w:top w:val="nil"/>
              <w:bottom w:val="nil"/>
            </w:tcBorders>
          </w:tcPr>
          <w:p w:rsidR="004E7B76" w:rsidRPr="00EB7994" w:rsidRDefault="004E7B76" w:rsidP="00266F2A">
            <w:pPr>
              <w:spacing w:after="0" w:line="240" w:lineRule="auto"/>
              <w:ind w:right="175"/>
              <w:jc w:val="right"/>
              <w:rPr>
                <w:rFonts w:ascii="Times New Roman" w:hAnsi="Times New Roman" w:cs="Times New Roman"/>
              </w:rPr>
            </w:pPr>
            <w:r w:rsidRPr="00EB7994">
              <w:rPr>
                <w:rFonts w:ascii="Times New Roman" w:hAnsi="Times New Roman" w:cs="Times New Roman"/>
              </w:rPr>
              <w:t>60 000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Total emplois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1 265 000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110 000</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110 000</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Ressources moins emplois</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-49 600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116 689</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161 866</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Trésorerie initiale</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50 000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400</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117 089</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r w:rsidR="004E7B76" w:rsidRPr="00EB7994">
        <w:tc>
          <w:tcPr>
            <w:tcW w:w="3012" w:type="dxa"/>
          </w:tcPr>
          <w:p w:rsidR="004E7B76" w:rsidRPr="00EB7994" w:rsidRDefault="004E7B76" w:rsidP="00266F2A">
            <w:pPr>
              <w:spacing w:after="0" w:line="240" w:lineRule="auto"/>
              <w:jc w:val="both"/>
              <w:rPr>
                <w:rFonts w:ascii="Times New Roman" w:hAnsi="Times New Roman" w:cs="Times New Roman"/>
                <w:b/>
                <w:bCs/>
              </w:rPr>
            </w:pPr>
            <w:r w:rsidRPr="00EB7994">
              <w:rPr>
                <w:rFonts w:ascii="Times New Roman" w:hAnsi="Times New Roman" w:cs="Times New Roman"/>
                <w:b/>
                <w:bCs/>
              </w:rPr>
              <w:t>Trésorerie finale</w:t>
            </w:r>
          </w:p>
        </w:tc>
        <w:tc>
          <w:tcPr>
            <w:tcW w:w="1452"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400</w:t>
            </w:r>
          </w:p>
        </w:tc>
        <w:tc>
          <w:tcPr>
            <w:tcW w:w="1560"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117 089</w:t>
            </w:r>
          </w:p>
        </w:tc>
        <w:tc>
          <w:tcPr>
            <w:tcW w:w="1431" w:type="dxa"/>
          </w:tcPr>
          <w:p w:rsidR="004E7B76" w:rsidRPr="00EB7994" w:rsidRDefault="004E7B76" w:rsidP="00266F2A">
            <w:pPr>
              <w:spacing w:after="0" w:line="240" w:lineRule="auto"/>
              <w:ind w:right="175"/>
              <w:jc w:val="right"/>
              <w:rPr>
                <w:rFonts w:ascii="Times New Roman" w:hAnsi="Times New Roman" w:cs="Times New Roman"/>
                <w:b/>
                <w:bCs/>
              </w:rPr>
            </w:pPr>
            <w:r w:rsidRPr="00EB7994">
              <w:rPr>
                <w:rFonts w:ascii="Times New Roman" w:hAnsi="Times New Roman" w:cs="Times New Roman"/>
                <w:b/>
                <w:bCs/>
              </w:rPr>
              <w:t>278 955</w:t>
            </w:r>
          </w:p>
        </w:tc>
        <w:tc>
          <w:tcPr>
            <w:tcW w:w="1431" w:type="dxa"/>
            <w:tcBorders>
              <w:top w:val="nil"/>
              <w:bottom w:val="nil"/>
              <w:right w:val="nil"/>
            </w:tcBorders>
          </w:tcPr>
          <w:p w:rsidR="004E7B76" w:rsidRPr="00EB7994" w:rsidRDefault="004E7B76" w:rsidP="00266F2A">
            <w:pPr>
              <w:spacing w:after="0" w:line="240" w:lineRule="auto"/>
              <w:ind w:right="175"/>
              <w:rPr>
                <w:rFonts w:ascii="Times New Roman" w:hAnsi="Times New Roman" w:cs="Times New Roman"/>
                <w:b/>
                <w:bCs/>
                <w:color w:val="FF0000"/>
              </w:rPr>
            </w:pPr>
          </w:p>
        </w:tc>
      </w:tr>
    </w:tbl>
    <w:p w:rsidR="004E7B76" w:rsidRPr="00EB7994" w:rsidRDefault="004E7B76" w:rsidP="00DC273F">
      <w:pPr>
        <w:pStyle w:val="Paragraphedeliste"/>
        <w:numPr>
          <w:ilvl w:val="0"/>
          <w:numId w:val="26"/>
        </w:numPr>
        <w:spacing w:after="0"/>
        <w:jc w:val="both"/>
        <w:rPr>
          <w:rFonts w:ascii="Times New Roman" w:hAnsi="Times New Roman" w:cs="Times New Roman"/>
        </w:rPr>
      </w:pPr>
      <w:r w:rsidRPr="00EB7994">
        <w:rPr>
          <w:rFonts w:ascii="Times New Roman" w:hAnsi="Times New Roman" w:cs="Times New Roman"/>
        </w:rPr>
        <w:t xml:space="preserve">Pour 2017 : 240 000*6%*2/3 = 9 600 </w:t>
      </w:r>
    </w:p>
    <w:p w:rsidR="004E7B76" w:rsidRPr="00EB7994" w:rsidRDefault="004E7B76" w:rsidP="00DC273F">
      <w:pPr>
        <w:spacing w:after="0"/>
        <w:ind w:left="709"/>
        <w:jc w:val="both"/>
        <w:rPr>
          <w:rFonts w:ascii="Times New Roman" w:hAnsi="Times New Roman" w:cs="Times New Roman"/>
        </w:rPr>
      </w:pPr>
      <w:r w:rsidRPr="00EB7994">
        <w:rPr>
          <w:rFonts w:ascii="Times New Roman" w:hAnsi="Times New Roman" w:cs="Times New Roman"/>
        </w:rPr>
        <w:t>2018 : (240 000-60 000)*6%*2/3 = 7 200</w:t>
      </w:r>
    </w:p>
    <w:p w:rsidR="004E7B76" w:rsidRPr="00EB7994" w:rsidRDefault="004E7B76" w:rsidP="00DC273F">
      <w:pPr>
        <w:spacing w:after="0"/>
        <w:ind w:left="709"/>
        <w:jc w:val="both"/>
        <w:rPr>
          <w:rFonts w:ascii="Times New Roman" w:hAnsi="Times New Roman" w:cs="Times New Roman"/>
        </w:rPr>
      </w:pPr>
      <w:r w:rsidRPr="00EB7994">
        <w:rPr>
          <w:rFonts w:ascii="Times New Roman" w:hAnsi="Times New Roman" w:cs="Times New Roman"/>
        </w:rPr>
        <w:t>2019 : (240 000-120 000)*6%*2/3 = 4 800</w:t>
      </w:r>
    </w:p>
    <w:p w:rsidR="004E7B76" w:rsidRPr="00EB7994" w:rsidRDefault="004E7B76" w:rsidP="00DC273F">
      <w:pPr>
        <w:spacing w:after="0"/>
        <w:ind w:left="709"/>
        <w:jc w:val="both"/>
        <w:rPr>
          <w:rFonts w:ascii="Times New Roman" w:hAnsi="Times New Roman" w:cs="Times New Roman"/>
        </w:rPr>
      </w:pPr>
    </w:p>
    <w:p w:rsidR="004E7B76" w:rsidRPr="00EB7994" w:rsidRDefault="004E7B76" w:rsidP="006B2E8F">
      <w:pPr>
        <w:spacing w:after="0" w:line="240" w:lineRule="auto"/>
        <w:jc w:val="both"/>
        <w:rPr>
          <w:rFonts w:ascii="Times New Roman" w:hAnsi="Times New Roman" w:cs="Times New Roman"/>
          <w:b/>
          <w:bCs/>
        </w:rPr>
      </w:pPr>
      <w:r w:rsidRPr="00EB7994">
        <w:rPr>
          <w:rFonts w:ascii="Times New Roman" w:hAnsi="Times New Roman" w:cs="Times New Roman"/>
        </w:rPr>
        <w:t xml:space="preserve">Le plan de financement est désormais équilibré, la trésorerie finale est positive pour chaque année. Toutefois, compte tenu de l’incertitude inhérente à toute prévision, il faut envisager un montant emprunté supérieur à 240 000 € en 2017. Cela doit être possible car la société NEW SHOES dispose d’une capacité d’endettement inutilisée. De plus tous les flux de 2017 ne se produiront pas au même moment dans l’année : les investissements seront effectués en début d’année, alors que la CAF sera générée progressivement. Il sera possible, au vu du plan de financement, de procéder à un remboursement anticipé de l’emprunt en fin 2019. </w:t>
      </w:r>
    </w:p>
    <w:p w:rsidR="004E7B76" w:rsidRPr="00EB7994" w:rsidRDefault="004E7B76">
      <w:pPr>
        <w:rPr>
          <w:rFonts w:ascii="Times New Roman" w:hAnsi="Times New Roman" w:cs="Times New Roman"/>
        </w:rPr>
      </w:pPr>
    </w:p>
    <w:p w:rsidR="004E7B76" w:rsidRPr="00EB7994" w:rsidRDefault="004E7B76" w:rsidP="00824C4C">
      <w:pPr>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rPr>
        <w:sectPr w:rsidR="004E7B76" w:rsidRPr="00EB7994" w:rsidSect="00EB7994">
          <w:pgSz w:w="11906" w:h="16838"/>
          <w:pgMar w:top="1134" w:right="1418" w:bottom="1418" w:left="1418" w:header="709" w:footer="0" w:gutter="0"/>
          <w:cols w:space="708"/>
          <w:rtlGutter/>
          <w:docGrid w:linePitch="360"/>
        </w:sectPr>
      </w:pPr>
    </w:p>
    <w:p w:rsidR="004E7B76" w:rsidRPr="00EB7994" w:rsidRDefault="004E7B76" w:rsidP="00824C4C">
      <w:pPr>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rPr>
      </w:pPr>
      <w:r w:rsidRPr="00EB7994">
        <w:rPr>
          <w:rFonts w:ascii="Times New Roman" w:hAnsi="Times New Roman" w:cs="Times New Roman"/>
          <w:b/>
          <w:bCs/>
        </w:rPr>
        <w:lastRenderedPageBreak/>
        <w:t>TROISIEME DOSSIER : GESTION DU RISQUE DE CHANGE</w:t>
      </w:r>
    </w:p>
    <w:p w:rsidR="004E7B76" w:rsidRPr="00EB7994" w:rsidRDefault="004E7B76" w:rsidP="00334F1F">
      <w:pPr>
        <w:pStyle w:val="Paragraphedeliste"/>
        <w:widowControl w:val="0"/>
        <w:numPr>
          <w:ilvl w:val="0"/>
          <w:numId w:val="7"/>
        </w:numPr>
        <w:autoSpaceDE w:val="0"/>
        <w:autoSpaceDN w:val="0"/>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Rappeler l’intérêt pour l’entreprise de se couvrir contre le risque de change.</w:t>
      </w:r>
    </w:p>
    <w:p w:rsidR="00F66C92" w:rsidRDefault="00F66C92" w:rsidP="00334F1F">
      <w:pPr>
        <w:widowControl w:val="0"/>
        <w:autoSpaceDE w:val="0"/>
        <w:autoSpaceDN w:val="0"/>
        <w:spacing w:after="0" w:line="240" w:lineRule="auto"/>
        <w:jc w:val="both"/>
        <w:rPr>
          <w:rFonts w:ascii="Times New Roman" w:hAnsi="Times New Roman" w:cs="Times New Roman"/>
        </w:rPr>
      </w:pP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r w:rsidRPr="00EB7994">
        <w:rPr>
          <w:rFonts w:ascii="Times New Roman" w:hAnsi="Times New Roman" w:cs="Times New Roman"/>
        </w:rPr>
        <w:t>La couverture du risque de change permet à l’entreprise de se prémunir d’une évolution de la devise par rapport à l’euro qui lui est défavorable dans le cas de dettes et/ou de créances libellées en devises.</w:t>
      </w: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p>
    <w:p w:rsidR="004E7B76" w:rsidRPr="00EB7994" w:rsidRDefault="004E7B76" w:rsidP="00334F1F">
      <w:pPr>
        <w:pStyle w:val="Paragraphedeliste"/>
        <w:widowControl w:val="0"/>
        <w:numPr>
          <w:ilvl w:val="0"/>
          <w:numId w:val="7"/>
        </w:numPr>
        <w:autoSpaceDE w:val="0"/>
        <w:autoSpaceDN w:val="0"/>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Calculer et qualifier la position de change de la société DESIGN CONTEMPORAIN vis-à-vis du dollar et de la livre sterling au 30 juin 2016 et au 15 juillet 2016.</w:t>
      </w:r>
    </w:p>
    <w:p w:rsidR="00F66C92" w:rsidRDefault="00F66C92" w:rsidP="00334F1F">
      <w:pPr>
        <w:widowControl w:val="0"/>
        <w:autoSpaceDE w:val="0"/>
        <w:autoSpaceDN w:val="0"/>
        <w:spacing w:after="0" w:line="240" w:lineRule="auto"/>
        <w:jc w:val="both"/>
        <w:rPr>
          <w:rFonts w:ascii="Times New Roman" w:hAnsi="Times New Roman" w:cs="Times New Roman"/>
        </w:rPr>
      </w:pPr>
    </w:p>
    <w:p w:rsidR="004E7B76" w:rsidRPr="00EB7994" w:rsidRDefault="004E7B76" w:rsidP="00334F1F">
      <w:pPr>
        <w:widowControl w:val="0"/>
        <w:autoSpaceDE w:val="0"/>
        <w:autoSpaceDN w:val="0"/>
        <w:spacing w:after="0" w:line="240" w:lineRule="auto"/>
        <w:jc w:val="both"/>
        <w:rPr>
          <w:rFonts w:ascii="Times New Roman" w:hAnsi="Times New Roman" w:cs="Times New Roman"/>
          <w:b/>
          <w:bCs/>
          <w:color w:val="FF0000"/>
        </w:rPr>
      </w:pPr>
      <w:r w:rsidRPr="00EB7994">
        <w:rPr>
          <w:rFonts w:ascii="Times New Roman" w:hAnsi="Times New Roman" w:cs="Times New Roman"/>
        </w:rPr>
        <w:t xml:space="preserve">A l’échéance du 30/06/2016, la position en USD est </w:t>
      </w:r>
      <w:r w:rsidRPr="00EB7994">
        <w:rPr>
          <w:rFonts w:ascii="Times New Roman" w:hAnsi="Times New Roman" w:cs="Times New Roman"/>
          <w:b/>
          <w:bCs/>
        </w:rPr>
        <w:t xml:space="preserve">courte de 117 500 USD </w:t>
      </w:r>
      <w:r w:rsidRPr="00EB7994">
        <w:rPr>
          <w:rFonts w:ascii="Times New Roman" w:hAnsi="Times New Roman" w:cs="Times New Roman"/>
        </w:rPr>
        <w:t>(plus de devises à livrer que de devises à recevoir). 182 500 – (25 000 + 40 000) = 117 500 USD.</w:t>
      </w:r>
    </w:p>
    <w:p w:rsidR="004E7B76" w:rsidRPr="00EB7994" w:rsidRDefault="004E7B76" w:rsidP="00334F1F">
      <w:pPr>
        <w:widowControl w:val="0"/>
        <w:autoSpaceDE w:val="0"/>
        <w:autoSpaceDN w:val="0"/>
        <w:spacing w:after="0" w:line="240" w:lineRule="auto"/>
        <w:jc w:val="both"/>
        <w:rPr>
          <w:rFonts w:ascii="Times New Roman" w:hAnsi="Times New Roman" w:cs="Times New Roman"/>
          <w:b/>
          <w:bCs/>
          <w:color w:val="FF0000"/>
        </w:rPr>
      </w:pPr>
    </w:p>
    <w:p w:rsidR="004E7B76" w:rsidRPr="00EB7994" w:rsidRDefault="004E7B76" w:rsidP="00334F1F">
      <w:pPr>
        <w:widowControl w:val="0"/>
        <w:autoSpaceDE w:val="0"/>
        <w:autoSpaceDN w:val="0"/>
        <w:spacing w:after="0" w:line="240" w:lineRule="auto"/>
        <w:jc w:val="both"/>
        <w:rPr>
          <w:rFonts w:ascii="Times New Roman" w:hAnsi="Times New Roman" w:cs="Times New Roman"/>
          <w:b/>
          <w:bCs/>
        </w:rPr>
      </w:pPr>
      <w:r w:rsidRPr="00EB7994">
        <w:rPr>
          <w:rFonts w:ascii="Times New Roman" w:hAnsi="Times New Roman" w:cs="Times New Roman"/>
        </w:rPr>
        <w:t xml:space="preserve">A l’échéance du 15/07/2016, la position en GBP est </w:t>
      </w:r>
      <w:r w:rsidRPr="00EB7994">
        <w:rPr>
          <w:rFonts w:ascii="Times New Roman" w:hAnsi="Times New Roman" w:cs="Times New Roman"/>
          <w:b/>
          <w:bCs/>
        </w:rPr>
        <w:t>longue de 18 500 GBP</w:t>
      </w:r>
      <w:r w:rsidRPr="00EB7994">
        <w:rPr>
          <w:rFonts w:ascii="Times New Roman" w:hAnsi="Times New Roman" w:cs="Times New Roman"/>
        </w:rPr>
        <w:t xml:space="preserve"> (plus de devises à recevoir que de devises à livrer). </w:t>
      </w:r>
    </w:p>
    <w:p w:rsidR="004E7B76" w:rsidRPr="00EB7994" w:rsidRDefault="004E7B76" w:rsidP="00334F1F">
      <w:pPr>
        <w:widowControl w:val="0"/>
        <w:autoSpaceDE w:val="0"/>
        <w:autoSpaceDN w:val="0"/>
        <w:spacing w:after="0" w:line="240" w:lineRule="auto"/>
        <w:jc w:val="both"/>
        <w:rPr>
          <w:rFonts w:ascii="Times New Roman" w:hAnsi="Times New Roman" w:cs="Times New Roman"/>
          <w:b/>
          <w:bCs/>
        </w:rPr>
      </w:pPr>
    </w:p>
    <w:p w:rsidR="004E7B76" w:rsidRPr="00EB7994" w:rsidRDefault="004E7B76" w:rsidP="00334F1F">
      <w:pPr>
        <w:pStyle w:val="Paragraphedeliste"/>
        <w:widowControl w:val="0"/>
        <w:numPr>
          <w:ilvl w:val="0"/>
          <w:numId w:val="7"/>
        </w:numPr>
        <w:autoSpaceDE w:val="0"/>
        <w:autoSpaceDN w:val="0"/>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Indiquer la nature du risque auquel la société est confrontée au 30 juin 2016 et le type de couverture adapté sur les marchés à terme. Calculer le montant encaissé ou décaissé en euros par la société DESIGN CONTEMPORAIN.</w:t>
      </w:r>
    </w:p>
    <w:p w:rsidR="00F66C92" w:rsidRDefault="00F66C92" w:rsidP="00334F1F">
      <w:pPr>
        <w:widowControl w:val="0"/>
        <w:autoSpaceDE w:val="0"/>
        <w:autoSpaceDN w:val="0"/>
        <w:spacing w:after="0" w:line="240" w:lineRule="auto"/>
        <w:jc w:val="both"/>
        <w:rPr>
          <w:rFonts w:ascii="Times New Roman" w:hAnsi="Times New Roman" w:cs="Times New Roman"/>
        </w:rPr>
      </w:pP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r w:rsidRPr="00EB7994">
        <w:rPr>
          <w:rFonts w:ascii="Times New Roman" w:hAnsi="Times New Roman" w:cs="Times New Roman"/>
        </w:rPr>
        <w:t>La position en USD étant courte au 30/06/2016, le risque est une appréciation de l’USD contre l’euro</w:t>
      </w:r>
      <w:r w:rsidRPr="00EB7994">
        <w:rPr>
          <w:rFonts w:ascii="Times New Roman" w:hAnsi="Times New Roman" w:cs="Times New Roman"/>
          <w:b/>
          <w:bCs/>
        </w:rPr>
        <w:t>.</w:t>
      </w:r>
      <w:r w:rsidRPr="00EB7994">
        <w:rPr>
          <w:rFonts w:ascii="Times New Roman" w:hAnsi="Times New Roman" w:cs="Times New Roman"/>
        </w:rPr>
        <w:t xml:space="preserve"> Il faut </w:t>
      </w:r>
      <w:r w:rsidRPr="00EB7994">
        <w:rPr>
          <w:rFonts w:ascii="Times New Roman" w:hAnsi="Times New Roman" w:cs="Times New Roman"/>
          <w:b/>
          <w:bCs/>
        </w:rPr>
        <w:t>acheter à terme</w:t>
      </w:r>
      <w:r w:rsidRPr="00EB7994">
        <w:rPr>
          <w:rFonts w:ascii="Times New Roman" w:hAnsi="Times New Roman" w:cs="Times New Roman"/>
        </w:rPr>
        <w:t xml:space="preserve"> des USD.</w:t>
      </w: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r w:rsidRPr="00EB7994">
        <w:rPr>
          <w:rFonts w:ascii="Times New Roman" w:hAnsi="Times New Roman" w:cs="Times New Roman"/>
        </w:rPr>
        <w:t>L’entreprise décaissera : 117 500*0,9549 = 112 200,75 € le 30/06/2016.</w:t>
      </w:r>
    </w:p>
    <w:p w:rsidR="004E7B76" w:rsidRPr="00EB7994" w:rsidRDefault="004E7B76" w:rsidP="00334F1F">
      <w:pPr>
        <w:widowControl w:val="0"/>
        <w:autoSpaceDE w:val="0"/>
        <w:autoSpaceDN w:val="0"/>
        <w:spacing w:after="0" w:line="240" w:lineRule="auto"/>
        <w:jc w:val="both"/>
        <w:rPr>
          <w:rFonts w:ascii="Times New Roman" w:hAnsi="Times New Roman" w:cs="Times New Roman"/>
          <w:color w:val="FF0000"/>
        </w:rPr>
      </w:pPr>
    </w:p>
    <w:p w:rsidR="004E7B76" w:rsidRPr="00EB7994" w:rsidRDefault="004E7B76" w:rsidP="00334F1F">
      <w:pPr>
        <w:pStyle w:val="Paragraphedeliste"/>
        <w:widowControl w:val="0"/>
        <w:numPr>
          <w:ilvl w:val="0"/>
          <w:numId w:val="7"/>
        </w:numPr>
        <w:autoSpaceDE w:val="0"/>
        <w:autoSpaceDN w:val="0"/>
        <w:spacing w:after="0" w:line="240" w:lineRule="auto"/>
        <w:ind w:left="714" w:hanging="357"/>
        <w:jc w:val="both"/>
        <w:rPr>
          <w:rFonts w:ascii="Times New Roman" w:hAnsi="Times New Roman" w:cs="Times New Roman"/>
          <w:b/>
          <w:bCs/>
        </w:rPr>
      </w:pPr>
      <w:r w:rsidRPr="00EB7994">
        <w:rPr>
          <w:rFonts w:ascii="Times New Roman" w:hAnsi="Times New Roman" w:cs="Times New Roman"/>
          <w:b/>
          <w:bCs/>
        </w:rPr>
        <w:t>Indiquer la nature du risque auquel la société est confrontée au 15 juillet 2016 et le type de couverture adapté sur les marchés des options. Calculer le résultat de la couverture (en euros) sur ce marché pour la société DESIGN CONTEMPORAIN dans les deux cas suivants :</w:t>
      </w:r>
    </w:p>
    <w:p w:rsidR="004E7B76" w:rsidRPr="00EB7994" w:rsidRDefault="004E7B76" w:rsidP="00334F1F">
      <w:pPr>
        <w:pStyle w:val="Paragraphedeliste"/>
        <w:widowControl w:val="0"/>
        <w:numPr>
          <w:ilvl w:val="0"/>
          <w:numId w:val="39"/>
        </w:numPr>
        <w:autoSpaceDE w:val="0"/>
        <w:autoSpaceDN w:val="0"/>
        <w:spacing w:after="0" w:line="240" w:lineRule="auto"/>
        <w:ind w:left="1559" w:hanging="357"/>
        <w:jc w:val="both"/>
        <w:rPr>
          <w:rFonts w:ascii="Times New Roman" w:hAnsi="Times New Roman" w:cs="Times New Roman"/>
          <w:b/>
          <w:bCs/>
        </w:rPr>
      </w:pPr>
      <w:r w:rsidRPr="00EB7994">
        <w:rPr>
          <w:rFonts w:ascii="Times New Roman" w:hAnsi="Times New Roman" w:cs="Times New Roman"/>
          <w:b/>
          <w:bCs/>
        </w:rPr>
        <w:t>Au  15/07/2016, la GBP cote 1,35 euro ;</w:t>
      </w:r>
    </w:p>
    <w:p w:rsidR="004E7B76" w:rsidRPr="00EB7994" w:rsidRDefault="004E7B76" w:rsidP="00334F1F">
      <w:pPr>
        <w:pStyle w:val="Paragraphedeliste"/>
        <w:widowControl w:val="0"/>
        <w:numPr>
          <w:ilvl w:val="0"/>
          <w:numId w:val="39"/>
        </w:numPr>
        <w:autoSpaceDE w:val="0"/>
        <w:autoSpaceDN w:val="0"/>
        <w:spacing w:after="0" w:line="240" w:lineRule="auto"/>
        <w:ind w:left="1560"/>
        <w:jc w:val="both"/>
        <w:rPr>
          <w:rFonts w:ascii="Times New Roman" w:hAnsi="Times New Roman" w:cs="Times New Roman"/>
          <w:b/>
          <w:bCs/>
        </w:rPr>
      </w:pPr>
      <w:r w:rsidRPr="00EB7994">
        <w:rPr>
          <w:rFonts w:ascii="Times New Roman" w:hAnsi="Times New Roman" w:cs="Times New Roman"/>
          <w:b/>
          <w:bCs/>
        </w:rPr>
        <w:t>Au 15/07/2016, la GBP cote 1,27 euro.</w:t>
      </w:r>
    </w:p>
    <w:p w:rsidR="00F66C92" w:rsidRDefault="00F66C92" w:rsidP="00334F1F">
      <w:pPr>
        <w:widowControl w:val="0"/>
        <w:autoSpaceDE w:val="0"/>
        <w:autoSpaceDN w:val="0"/>
        <w:spacing w:after="0" w:line="240" w:lineRule="auto"/>
        <w:jc w:val="both"/>
        <w:rPr>
          <w:rFonts w:ascii="Times New Roman" w:hAnsi="Times New Roman" w:cs="Times New Roman"/>
        </w:rPr>
      </w:pPr>
    </w:p>
    <w:p w:rsidR="004E7B76" w:rsidRPr="00EB7994" w:rsidRDefault="004E7B76" w:rsidP="00334F1F">
      <w:pPr>
        <w:widowControl w:val="0"/>
        <w:autoSpaceDE w:val="0"/>
        <w:autoSpaceDN w:val="0"/>
        <w:spacing w:after="0" w:line="240" w:lineRule="auto"/>
        <w:jc w:val="both"/>
        <w:rPr>
          <w:rFonts w:ascii="Times New Roman" w:hAnsi="Times New Roman" w:cs="Times New Roman"/>
          <w:b/>
          <w:bCs/>
          <w:color w:val="FF0000"/>
        </w:rPr>
      </w:pPr>
      <w:r w:rsidRPr="00EB7994">
        <w:rPr>
          <w:rFonts w:ascii="Times New Roman" w:hAnsi="Times New Roman" w:cs="Times New Roman"/>
        </w:rPr>
        <w:t xml:space="preserve">La position de change étant longue en GBP, le risque est une dépréciation de la devise. DESIGN INTERNATIONAL doit donc acheter une </w:t>
      </w:r>
      <w:r w:rsidRPr="00EB7994">
        <w:rPr>
          <w:rFonts w:ascii="Times New Roman" w:hAnsi="Times New Roman" w:cs="Times New Roman"/>
          <w:b/>
          <w:bCs/>
        </w:rPr>
        <w:t>option de vente (put)</w:t>
      </w:r>
      <w:r w:rsidRPr="00EB7994">
        <w:rPr>
          <w:rFonts w:ascii="Times New Roman" w:hAnsi="Times New Roman" w:cs="Times New Roman"/>
        </w:rPr>
        <w:t xml:space="preserve"> de GBP contre euro, portant sur 18 500 GBP. Prix d’exercice = 1 GBP = 1,32 € </w:t>
      </w:r>
    </w:p>
    <w:p w:rsidR="004E7B76" w:rsidRPr="00EB7994" w:rsidRDefault="004E7B76" w:rsidP="00334F1F">
      <w:pPr>
        <w:widowControl w:val="0"/>
        <w:autoSpaceDE w:val="0"/>
        <w:autoSpaceDN w:val="0"/>
        <w:spacing w:after="0" w:line="240" w:lineRule="auto"/>
        <w:jc w:val="both"/>
        <w:rPr>
          <w:rFonts w:ascii="Times New Roman" w:hAnsi="Times New Roman" w:cs="Times New Roman"/>
          <w:b/>
          <w:bCs/>
        </w:rPr>
      </w:pP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r w:rsidRPr="00EB7994">
        <w:rPr>
          <w:rFonts w:ascii="Times New Roman" w:hAnsi="Times New Roman" w:cs="Times New Roman"/>
        </w:rPr>
        <w:t xml:space="preserve">Prime payée : 0,013 * 18 500 GBP = 240,50 GBP soit 240,50*1,4451 = 347,55 € </w:t>
      </w:r>
    </w:p>
    <w:p w:rsidR="004E7B76" w:rsidRPr="00EB7994" w:rsidRDefault="004E7B76" w:rsidP="00334F1F">
      <w:pPr>
        <w:widowControl w:val="0"/>
        <w:autoSpaceDE w:val="0"/>
        <w:autoSpaceDN w:val="0"/>
        <w:spacing w:after="0" w:line="240" w:lineRule="auto"/>
        <w:jc w:val="both"/>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5"/>
        <w:gridCol w:w="2432"/>
        <w:gridCol w:w="2432"/>
        <w:gridCol w:w="2347"/>
      </w:tblGrid>
      <w:tr w:rsidR="004E7B76" w:rsidRPr="00EB7994">
        <w:tc>
          <w:tcPr>
            <w:tcW w:w="2075" w:type="dxa"/>
          </w:tcPr>
          <w:p w:rsidR="004E7B76" w:rsidRPr="00EB7994" w:rsidRDefault="004E7B76" w:rsidP="00266F2A">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Cotation</w:t>
            </w:r>
          </w:p>
        </w:tc>
        <w:tc>
          <w:tcPr>
            <w:tcW w:w="2432" w:type="dxa"/>
          </w:tcPr>
          <w:p w:rsidR="004E7B76" w:rsidRPr="00EB7994" w:rsidRDefault="004E7B76" w:rsidP="00266F2A">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Encaissements sans couverture</w:t>
            </w:r>
          </w:p>
        </w:tc>
        <w:tc>
          <w:tcPr>
            <w:tcW w:w="2432" w:type="dxa"/>
          </w:tcPr>
          <w:p w:rsidR="004E7B76" w:rsidRPr="00EB7994" w:rsidRDefault="004E7B76" w:rsidP="00266F2A">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Encaissements avec couverture</w:t>
            </w:r>
          </w:p>
        </w:tc>
        <w:tc>
          <w:tcPr>
            <w:tcW w:w="2347" w:type="dxa"/>
          </w:tcPr>
          <w:p w:rsidR="004E7B76" w:rsidRPr="00EB7994" w:rsidRDefault="004E7B76" w:rsidP="00266F2A">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Résultat</w:t>
            </w:r>
          </w:p>
        </w:tc>
      </w:tr>
      <w:tr w:rsidR="004E7B76" w:rsidRPr="00EB7994" w:rsidTr="005010ED">
        <w:tc>
          <w:tcPr>
            <w:tcW w:w="2075"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1,35</w:t>
            </w:r>
          </w:p>
        </w:tc>
        <w:tc>
          <w:tcPr>
            <w:tcW w:w="2432"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18 500*1,35 = 24 975</w:t>
            </w:r>
          </w:p>
        </w:tc>
        <w:tc>
          <w:tcPr>
            <w:tcW w:w="2432"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18 500 *1,35 – 347,55 =</w:t>
            </w:r>
            <w:r w:rsidR="00F66C92">
              <w:rPr>
                <w:rFonts w:ascii="Times New Roman" w:hAnsi="Times New Roman" w:cs="Times New Roman"/>
                <w:b/>
                <w:bCs/>
                <w:sz w:val="20"/>
                <w:szCs w:val="20"/>
              </w:rPr>
              <w:t xml:space="preserve"> </w:t>
            </w:r>
            <w:r w:rsidRPr="00EB7994">
              <w:rPr>
                <w:rFonts w:ascii="Times New Roman" w:hAnsi="Times New Roman" w:cs="Times New Roman"/>
                <w:b/>
                <w:bCs/>
                <w:sz w:val="20"/>
                <w:szCs w:val="20"/>
              </w:rPr>
              <w:t>24 627,45</w:t>
            </w:r>
          </w:p>
        </w:tc>
        <w:tc>
          <w:tcPr>
            <w:tcW w:w="2347"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-347,55</w:t>
            </w:r>
          </w:p>
        </w:tc>
      </w:tr>
      <w:tr w:rsidR="004E7B76" w:rsidRPr="00EB7994" w:rsidTr="005010ED">
        <w:tc>
          <w:tcPr>
            <w:tcW w:w="2075"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1,27</w:t>
            </w:r>
          </w:p>
        </w:tc>
        <w:tc>
          <w:tcPr>
            <w:tcW w:w="2432"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18 500*1,27 = 23 495</w:t>
            </w:r>
          </w:p>
        </w:tc>
        <w:tc>
          <w:tcPr>
            <w:tcW w:w="2432" w:type="dxa"/>
            <w:vAlign w:val="center"/>
          </w:tcPr>
          <w:p w:rsidR="004E7B76" w:rsidRPr="00EB7994" w:rsidRDefault="004E7B76" w:rsidP="00F66C92">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18 500*1,32 - 347,55 =</w:t>
            </w:r>
            <w:r w:rsidR="00F66C92">
              <w:rPr>
                <w:rFonts w:ascii="Times New Roman" w:hAnsi="Times New Roman" w:cs="Times New Roman"/>
                <w:b/>
                <w:bCs/>
                <w:sz w:val="20"/>
                <w:szCs w:val="20"/>
              </w:rPr>
              <w:t xml:space="preserve"> </w:t>
            </w:r>
            <w:r w:rsidRPr="00EB7994">
              <w:rPr>
                <w:rFonts w:ascii="Times New Roman" w:hAnsi="Times New Roman" w:cs="Times New Roman"/>
                <w:b/>
                <w:bCs/>
                <w:sz w:val="20"/>
                <w:szCs w:val="20"/>
              </w:rPr>
              <w:t>24 072,45</w:t>
            </w:r>
          </w:p>
        </w:tc>
        <w:tc>
          <w:tcPr>
            <w:tcW w:w="2347" w:type="dxa"/>
            <w:vAlign w:val="center"/>
          </w:tcPr>
          <w:p w:rsidR="004E7B76" w:rsidRPr="00EB7994" w:rsidRDefault="004E7B76" w:rsidP="005010ED">
            <w:pPr>
              <w:widowControl w:val="0"/>
              <w:autoSpaceDE w:val="0"/>
              <w:autoSpaceDN w:val="0"/>
              <w:spacing w:after="0" w:line="240" w:lineRule="auto"/>
              <w:jc w:val="center"/>
              <w:rPr>
                <w:rFonts w:ascii="Times New Roman" w:hAnsi="Times New Roman" w:cs="Times New Roman"/>
                <w:b/>
                <w:bCs/>
                <w:sz w:val="20"/>
                <w:szCs w:val="20"/>
              </w:rPr>
            </w:pPr>
            <w:r w:rsidRPr="00EB7994">
              <w:rPr>
                <w:rFonts w:ascii="Times New Roman" w:hAnsi="Times New Roman" w:cs="Times New Roman"/>
                <w:b/>
                <w:bCs/>
                <w:sz w:val="20"/>
                <w:szCs w:val="20"/>
              </w:rPr>
              <w:t>+ 577,45</w:t>
            </w:r>
          </w:p>
        </w:tc>
      </w:tr>
    </w:tbl>
    <w:p w:rsidR="004E7B76" w:rsidRPr="00EB7994" w:rsidRDefault="004E7B76" w:rsidP="005010ED">
      <w:pPr>
        <w:widowControl w:val="0"/>
        <w:autoSpaceDE w:val="0"/>
        <w:autoSpaceDN w:val="0"/>
        <w:spacing w:after="0" w:line="240" w:lineRule="auto"/>
        <w:jc w:val="both"/>
        <w:rPr>
          <w:rFonts w:ascii="Times New Roman" w:hAnsi="Times New Roman" w:cs="Times New Roman"/>
          <w:b/>
          <w:bCs/>
          <w:color w:val="FF0000"/>
        </w:rPr>
      </w:pPr>
    </w:p>
    <w:sectPr w:rsidR="004E7B76" w:rsidRPr="00EB7994" w:rsidSect="00EB7994">
      <w:pgSz w:w="11906" w:h="16838"/>
      <w:pgMar w:top="1134" w:right="1418" w:bottom="1418" w:left="1418" w:header="709" w:footer="0"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F71" w:rsidRDefault="00BC2F71" w:rsidP="00FB001F">
      <w:pPr>
        <w:spacing w:after="0" w:line="240" w:lineRule="auto"/>
      </w:pPr>
      <w:r>
        <w:separator/>
      </w:r>
    </w:p>
  </w:endnote>
  <w:endnote w:type="continuationSeparator" w:id="0">
    <w:p w:rsidR="00BC2F71" w:rsidRDefault="00BC2F71" w:rsidP="00FB00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B76" w:rsidRPr="00EB7994" w:rsidRDefault="004E7B76" w:rsidP="00FB001F">
    <w:pPr>
      <w:pStyle w:val="Pieddepage"/>
      <w:tabs>
        <w:tab w:val="left" w:pos="7655"/>
      </w:tabs>
      <w:rPr>
        <w:rFonts w:ascii="Times New Roman" w:hAnsi="Times New Roman" w:cs="Times New Roman"/>
        <w:sz w:val="20"/>
        <w:szCs w:val="20"/>
      </w:rPr>
    </w:pPr>
    <w:r w:rsidRPr="00EB7994">
      <w:rPr>
        <w:rFonts w:ascii="Times New Roman" w:hAnsi="Times New Roman" w:cs="Times New Roman"/>
        <w:sz w:val="20"/>
        <w:szCs w:val="20"/>
      </w:rPr>
      <w:t>DCG 2016 UE6 – Finance d’entreprise – CORRIGE</w:t>
    </w:r>
    <w:r w:rsidRPr="00EB7994">
      <w:rPr>
        <w:rFonts w:ascii="Times New Roman" w:hAnsi="Times New Roman" w:cs="Times New Roman"/>
        <w:sz w:val="20"/>
        <w:szCs w:val="20"/>
      </w:rPr>
      <w:tab/>
    </w:r>
    <w:r w:rsidR="005010ED">
      <w:rPr>
        <w:rFonts w:ascii="Times New Roman" w:hAnsi="Times New Roman" w:cs="Times New Roman"/>
        <w:sz w:val="20"/>
        <w:szCs w:val="20"/>
      </w:rPr>
      <w:tab/>
    </w:r>
    <w:r w:rsidRPr="00EB7994">
      <w:rPr>
        <w:rFonts w:ascii="Times New Roman" w:hAnsi="Times New Roman" w:cs="Times New Roman"/>
        <w:sz w:val="20"/>
        <w:szCs w:val="20"/>
      </w:rPr>
      <w:t xml:space="preserve">Page </w:t>
    </w:r>
    <w:r w:rsidR="0055337B" w:rsidRPr="00EB7994">
      <w:rPr>
        <w:rFonts w:ascii="Times New Roman" w:hAnsi="Times New Roman" w:cs="Times New Roman"/>
        <w:b/>
        <w:bCs/>
        <w:sz w:val="20"/>
        <w:szCs w:val="20"/>
      </w:rPr>
      <w:fldChar w:fldCharType="begin"/>
    </w:r>
    <w:r w:rsidRPr="00EB7994">
      <w:rPr>
        <w:rFonts w:ascii="Times New Roman" w:hAnsi="Times New Roman" w:cs="Times New Roman"/>
        <w:b/>
        <w:bCs/>
        <w:sz w:val="20"/>
        <w:szCs w:val="20"/>
      </w:rPr>
      <w:instrText>PAGE  \* Arabic  \* MERGEFORMAT</w:instrText>
    </w:r>
    <w:r w:rsidR="0055337B" w:rsidRPr="00EB7994">
      <w:rPr>
        <w:rFonts w:ascii="Times New Roman" w:hAnsi="Times New Roman" w:cs="Times New Roman"/>
        <w:b/>
        <w:bCs/>
        <w:sz w:val="20"/>
        <w:szCs w:val="20"/>
      </w:rPr>
      <w:fldChar w:fldCharType="separate"/>
    </w:r>
    <w:r w:rsidR="00F66C92">
      <w:rPr>
        <w:rFonts w:ascii="Times New Roman" w:hAnsi="Times New Roman" w:cs="Times New Roman"/>
        <w:b/>
        <w:bCs/>
        <w:noProof/>
        <w:sz w:val="20"/>
        <w:szCs w:val="20"/>
      </w:rPr>
      <w:t>2</w:t>
    </w:r>
    <w:r w:rsidR="0055337B" w:rsidRPr="00EB7994">
      <w:rPr>
        <w:rFonts w:ascii="Times New Roman" w:hAnsi="Times New Roman" w:cs="Times New Roman"/>
        <w:b/>
        <w:bCs/>
        <w:sz w:val="20"/>
        <w:szCs w:val="20"/>
      </w:rPr>
      <w:fldChar w:fldCharType="end"/>
    </w:r>
    <w:r w:rsidRPr="00EB7994">
      <w:rPr>
        <w:rFonts w:ascii="Times New Roman" w:hAnsi="Times New Roman" w:cs="Times New Roman"/>
        <w:sz w:val="20"/>
        <w:szCs w:val="20"/>
      </w:rPr>
      <w:t xml:space="preserve"> sur </w:t>
    </w:r>
    <w:fldSimple w:instr="NUMPAGES  \* Arabic  \* MERGEFORMAT">
      <w:r w:rsidR="00F66C92" w:rsidRPr="00F66C92">
        <w:rPr>
          <w:rFonts w:ascii="Times New Roman" w:hAnsi="Times New Roman" w:cs="Times New Roman"/>
          <w:b/>
          <w:bCs/>
          <w:noProof/>
          <w:sz w:val="20"/>
          <w:szCs w:val="20"/>
        </w:rPr>
        <w:t>8</w:t>
      </w:r>
    </w:fldSimple>
  </w:p>
  <w:p w:rsidR="004E7B76" w:rsidRPr="00EB7994" w:rsidRDefault="004E7B76">
    <w:pPr>
      <w:pStyle w:val="Pieddepage"/>
      <w:rPr>
        <w:rFonts w:ascii="Times New Roman" w:hAnsi="Times New Roman" w:cs="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F71" w:rsidRDefault="00BC2F71" w:rsidP="00FB001F">
      <w:pPr>
        <w:spacing w:after="0" w:line="240" w:lineRule="auto"/>
      </w:pPr>
      <w:r>
        <w:separator/>
      </w:r>
    </w:p>
  </w:footnote>
  <w:footnote w:type="continuationSeparator" w:id="0">
    <w:p w:rsidR="00BC2F71" w:rsidRDefault="00BC2F71" w:rsidP="00FB00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355F"/>
    <w:multiLevelType w:val="hybridMultilevel"/>
    <w:tmpl w:val="B5E6A86C"/>
    <w:lvl w:ilvl="0" w:tplc="BDA623B2">
      <w:start w:val="5"/>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
    <w:nsid w:val="077F4957"/>
    <w:multiLevelType w:val="hybridMultilevel"/>
    <w:tmpl w:val="B24A4A0E"/>
    <w:lvl w:ilvl="0" w:tplc="534047D8">
      <w:start w:val="2"/>
      <w:numFmt w:val="decimal"/>
      <w:lvlText w:val="%1)"/>
      <w:lvlJc w:val="left"/>
      <w:pPr>
        <w:tabs>
          <w:tab w:val="num" w:pos="720"/>
        </w:tabs>
        <w:ind w:left="720" w:hanging="360"/>
      </w:pPr>
    </w:lvl>
    <w:lvl w:ilvl="1" w:tplc="9AA40DEC">
      <w:start w:val="1"/>
      <w:numFmt w:val="decimal"/>
      <w:lvlText w:val="%2)"/>
      <w:lvlJc w:val="left"/>
      <w:pPr>
        <w:tabs>
          <w:tab w:val="num" w:pos="1440"/>
        </w:tabs>
        <w:ind w:left="1440" w:hanging="360"/>
      </w:pPr>
    </w:lvl>
    <w:lvl w:ilvl="2" w:tplc="7DB64218">
      <w:start w:val="1"/>
      <w:numFmt w:val="decimal"/>
      <w:lvlText w:val="%3)"/>
      <w:lvlJc w:val="left"/>
      <w:pPr>
        <w:tabs>
          <w:tab w:val="num" w:pos="2160"/>
        </w:tabs>
        <w:ind w:left="2160" w:hanging="360"/>
      </w:pPr>
    </w:lvl>
    <w:lvl w:ilvl="3" w:tplc="F4B08644">
      <w:start w:val="1"/>
      <w:numFmt w:val="decimal"/>
      <w:lvlText w:val="%4)"/>
      <w:lvlJc w:val="left"/>
      <w:pPr>
        <w:tabs>
          <w:tab w:val="num" w:pos="2880"/>
        </w:tabs>
        <w:ind w:left="2880" w:hanging="360"/>
      </w:pPr>
    </w:lvl>
    <w:lvl w:ilvl="4" w:tplc="66124342">
      <w:start w:val="1"/>
      <w:numFmt w:val="decimal"/>
      <w:lvlText w:val="%5)"/>
      <w:lvlJc w:val="left"/>
      <w:pPr>
        <w:tabs>
          <w:tab w:val="num" w:pos="3600"/>
        </w:tabs>
        <w:ind w:left="3600" w:hanging="360"/>
      </w:pPr>
    </w:lvl>
    <w:lvl w:ilvl="5" w:tplc="8ADA5588">
      <w:start w:val="1"/>
      <w:numFmt w:val="decimal"/>
      <w:lvlText w:val="%6)"/>
      <w:lvlJc w:val="left"/>
      <w:pPr>
        <w:tabs>
          <w:tab w:val="num" w:pos="4320"/>
        </w:tabs>
        <w:ind w:left="4320" w:hanging="360"/>
      </w:pPr>
    </w:lvl>
    <w:lvl w:ilvl="6" w:tplc="AE8A75F4">
      <w:start w:val="1"/>
      <w:numFmt w:val="decimal"/>
      <w:lvlText w:val="%7)"/>
      <w:lvlJc w:val="left"/>
      <w:pPr>
        <w:tabs>
          <w:tab w:val="num" w:pos="5040"/>
        </w:tabs>
        <w:ind w:left="5040" w:hanging="360"/>
      </w:pPr>
    </w:lvl>
    <w:lvl w:ilvl="7" w:tplc="ACB08790">
      <w:start w:val="1"/>
      <w:numFmt w:val="decimal"/>
      <w:lvlText w:val="%8)"/>
      <w:lvlJc w:val="left"/>
      <w:pPr>
        <w:tabs>
          <w:tab w:val="num" w:pos="5760"/>
        </w:tabs>
        <w:ind w:left="5760" w:hanging="360"/>
      </w:pPr>
    </w:lvl>
    <w:lvl w:ilvl="8" w:tplc="19321B02">
      <w:start w:val="1"/>
      <w:numFmt w:val="decimal"/>
      <w:lvlText w:val="%9)"/>
      <w:lvlJc w:val="left"/>
      <w:pPr>
        <w:tabs>
          <w:tab w:val="num" w:pos="6480"/>
        </w:tabs>
        <w:ind w:left="6480" w:hanging="360"/>
      </w:pPr>
    </w:lvl>
  </w:abstractNum>
  <w:abstractNum w:abstractNumId="2">
    <w:nsid w:val="0A522CC4"/>
    <w:multiLevelType w:val="hybridMultilevel"/>
    <w:tmpl w:val="EDF47144"/>
    <w:lvl w:ilvl="0" w:tplc="07D610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nsid w:val="105B259E"/>
    <w:multiLevelType w:val="hybridMultilevel"/>
    <w:tmpl w:val="1A7693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124C1901"/>
    <w:multiLevelType w:val="hybridMultilevel"/>
    <w:tmpl w:val="25023542"/>
    <w:lvl w:ilvl="0" w:tplc="CC100AB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136C3991"/>
    <w:multiLevelType w:val="hybridMultilevel"/>
    <w:tmpl w:val="6540D470"/>
    <w:lvl w:ilvl="0" w:tplc="040C0007">
      <w:start w:val="1"/>
      <w:numFmt w:val="bullet"/>
      <w:lvlText w:val=""/>
      <w:lvlJc w:val="left"/>
      <w:pPr>
        <w:ind w:left="1077" w:hanging="360"/>
      </w:pPr>
      <w:rPr>
        <w:rFonts w:ascii="Symbol" w:hAnsi="Symbol" w:cs="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cs="Wingdings" w:hint="default"/>
      </w:rPr>
    </w:lvl>
    <w:lvl w:ilvl="3" w:tplc="040C0001">
      <w:start w:val="1"/>
      <w:numFmt w:val="bullet"/>
      <w:lvlText w:val=""/>
      <w:lvlJc w:val="left"/>
      <w:pPr>
        <w:ind w:left="3237" w:hanging="360"/>
      </w:pPr>
      <w:rPr>
        <w:rFonts w:ascii="Symbol" w:hAnsi="Symbol" w:cs="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cs="Wingdings" w:hint="default"/>
      </w:rPr>
    </w:lvl>
    <w:lvl w:ilvl="6" w:tplc="040C0001">
      <w:start w:val="1"/>
      <w:numFmt w:val="bullet"/>
      <w:lvlText w:val=""/>
      <w:lvlJc w:val="left"/>
      <w:pPr>
        <w:ind w:left="5397" w:hanging="360"/>
      </w:pPr>
      <w:rPr>
        <w:rFonts w:ascii="Symbol" w:hAnsi="Symbol" w:cs="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cs="Wingdings" w:hint="default"/>
      </w:rPr>
    </w:lvl>
  </w:abstractNum>
  <w:abstractNum w:abstractNumId="6">
    <w:nsid w:val="13CE0C72"/>
    <w:multiLevelType w:val="hybridMultilevel"/>
    <w:tmpl w:val="CC68717C"/>
    <w:lvl w:ilvl="0" w:tplc="699E3154">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13DB5B25"/>
    <w:multiLevelType w:val="hybridMultilevel"/>
    <w:tmpl w:val="5FA0157E"/>
    <w:lvl w:ilvl="0" w:tplc="AC1E6D30">
      <w:start w:val="135"/>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1C6802F9"/>
    <w:multiLevelType w:val="hybridMultilevel"/>
    <w:tmpl w:val="21FC3A04"/>
    <w:lvl w:ilvl="0" w:tplc="C5EEF002">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nsid w:val="1FB93CCF"/>
    <w:multiLevelType w:val="hybridMultilevel"/>
    <w:tmpl w:val="1DDAB20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nsid w:val="1FCE65B0"/>
    <w:multiLevelType w:val="hybridMultilevel"/>
    <w:tmpl w:val="B1208EE2"/>
    <w:lvl w:ilvl="0" w:tplc="E0D28246">
      <w:start w:val="1"/>
      <w:numFmt w:val="bullet"/>
      <w:lvlText w:val=""/>
      <w:lvlJc w:val="left"/>
      <w:pPr>
        <w:tabs>
          <w:tab w:val="num" w:pos="720"/>
        </w:tabs>
        <w:ind w:left="720" w:hanging="360"/>
      </w:pPr>
      <w:rPr>
        <w:rFonts w:ascii="Wingdings" w:hAnsi="Wingdings" w:cs="Wingdings" w:hint="default"/>
      </w:rPr>
    </w:lvl>
    <w:lvl w:ilvl="1" w:tplc="496ACC38">
      <w:start w:val="1"/>
      <w:numFmt w:val="bullet"/>
      <w:lvlText w:val=""/>
      <w:lvlJc w:val="left"/>
      <w:pPr>
        <w:tabs>
          <w:tab w:val="num" w:pos="1440"/>
        </w:tabs>
        <w:ind w:left="1440" w:hanging="360"/>
      </w:pPr>
      <w:rPr>
        <w:rFonts w:ascii="Wingdings" w:hAnsi="Wingdings" w:cs="Wingdings" w:hint="default"/>
      </w:rPr>
    </w:lvl>
    <w:lvl w:ilvl="2" w:tplc="2092F576">
      <w:start w:val="1"/>
      <w:numFmt w:val="bullet"/>
      <w:lvlText w:val=""/>
      <w:lvlJc w:val="left"/>
      <w:pPr>
        <w:tabs>
          <w:tab w:val="num" w:pos="2160"/>
        </w:tabs>
        <w:ind w:left="2160" w:hanging="360"/>
      </w:pPr>
      <w:rPr>
        <w:rFonts w:ascii="Wingdings" w:hAnsi="Wingdings" w:cs="Wingdings" w:hint="default"/>
      </w:rPr>
    </w:lvl>
    <w:lvl w:ilvl="3" w:tplc="48F8C16E">
      <w:start w:val="1"/>
      <w:numFmt w:val="bullet"/>
      <w:lvlText w:val=""/>
      <w:lvlJc w:val="left"/>
      <w:pPr>
        <w:tabs>
          <w:tab w:val="num" w:pos="2880"/>
        </w:tabs>
        <w:ind w:left="2880" w:hanging="360"/>
      </w:pPr>
      <w:rPr>
        <w:rFonts w:ascii="Wingdings" w:hAnsi="Wingdings" w:cs="Wingdings" w:hint="default"/>
      </w:rPr>
    </w:lvl>
    <w:lvl w:ilvl="4" w:tplc="2FF2DCEC">
      <w:start w:val="1"/>
      <w:numFmt w:val="bullet"/>
      <w:lvlText w:val=""/>
      <w:lvlJc w:val="left"/>
      <w:pPr>
        <w:tabs>
          <w:tab w:val="num" w:pos="3600"/>
        </w:tabs>
        <w:ind w:left="3600" w:hanging="360"/>
      </w:pPr>
      <w:rPr>
        <w:rFonts w:ascii="Wingdings" w:hAnsi="Wingdings" w:cs="Wingdings" w:hint="default"/>
      </w:rPr>
    </w:lvl>
    <w:lvl w:ilvl="5" w:tplc="FC4A3F40">
      <w:start w:val="1"/>
      <w:numFmt w:val="bullet"/>
      <w:lvlText w:val=""/>
      <w:lvlJc w:val="left"/>
      <w:pPr>
        <w:tabs>
          <w:tab w:val="num" w:pos="4320"/>
        </w:tabs>
        <w:ind w:left="4320" w:hanging="360"/>
      </w:pPr>
      <w:rPr>
        <w:rFonts w:ascii="Wingdings" w:hAnsi="Wingdings" w:cs="Wingdings" w:hint="default"/>
      </w:rPr>
    </w:lvl>
    <w:lvl w:ilvl="6" w:tplc="F036E8F4">
      <w:start w:val="1"/>
      <w:numFmt w:val="bullet"/>
      <w:lvlText w:val=""/>
      <w:lvlJc w:val="left"/>
      <w:pPr>
        <w:tabs>
          <w:tab w:val="num" w:pos="5040"/>
        </w:tabs>
        <w:ind w:left="5040" w:hanging="360"/>
      </w:pPr>
      <w:rPr>
        <w:rFonts w:ascii="Wingdings" w:hAnsi="Wingdings" w:cs="Wingdings" w:hint="default"/>
      </w:rPr>
    </w:lvl>
    <w:lvl w:ilvl="7" w:tplc="54EC498C">
      <w:start w:val="1"/>
      <w:numFmt w:val="bullet"/>
      <w:lvlText w:val=""/>
      <w:lvlJc w:val="left"/>
      <w:pPr>
        <w:tabs>
          <w:tab w:val="num" w:pos="5760"/>
        </w:tabs>
        <w:ind w:left="5760" w:hanging="360"/>
      </w:pPr>
      <w:rPr>
        <w:rFonts w:ascii="Wingdings" w:hAnsi="Wingdings" w:cs="Wingdings" w:hint="default"/>
      </w:rPr>
    </w:lvl>
    <w:lvl w:ilvl="8" w:tplc="D3063294">
      <w:start w:val="1"/>
      <w:numFmt w:val="bullet"/>
      <w:lvlText w:val=""/>
      <w:lvlJc w:val="left"/>
      <w:pPr>
        <w:tabs>
          <w:tab w:val="num" w:pos="6480"/>
        </w:tabs>
        <w:ind w:left="6480" w:hanging="360"/>
      </w:pPr>
      <w:rPr>
        <w:rFonts w:ascii="Wingdings" w:hAnsi="Wingdings" w:cs="Wingdings" w:hint="default"/>
      </w:rPr>
    </w:lvl>
  </w:abstractNum>
  <w:abstractNum w:abstractNumId="11">
    <w:nsid w:val="20993E60"/>
    <w:multiLevelType w:val="hybridMultilevel"/>
    <w:tmpl w:val="065078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nsid w:val="2DEF6B32"/>
    <w:multiLevelType w:val="hybridMultilevel"/>
    <w:tmpl w:val="EDF47144"/>
    <w:lvl w:ilvl="0" w:tplc="07D610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nsid w:val="38D32E74"/>
    <w:multiLevelType w:val="hybridMultilevel"/>
    <w:tmpl w:val="42F6564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nsid w:val="3A465F17"/>
    <w:multiLevelType w:val="hybridMultilevel"/>
    <w:tmpl w:val="8708D2A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nsid w:val="3BAD11CC"/>
    <w:multiLevelType w:val="hybridMultilevel"/>
    <w:tmpl w:val="C91A6A64"/>
    <w:lvl w:ilvl="0" w:tplc="040C0007">
      <w:start w:val="1"/>
      <w:numFmt w:val="bullet"/>
      <w:lvlText w:val=""/>
      <w:lvlJc w:val="left"/>
      <w:pPr>
        <w:ind w:left="1077" w:hanging="360"/>
      </w:pPr>
      <w:rPr>
        <w:rFonts w:ascii="Symbol" w:hAnsi="Symbol" w:cs="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cs="Wingdings" w:hint="default"/>
      </w:rPr>
    </w:lvl>
    <w:lvl w:ilvl="3" w:tplc="040C0001">
      <w:start w:val="1"/>
      <w:numFmt w:val="bullet"/>
      <w:lvlText w:val=""/>
      <w:lvlJc w:val="left"/>
      <w:pPr>
        <w:ind w:left="3237" w:hanging="360"/>
      </w:pPr>
      <w:rPr>
        <w:rFonts w:ascii="Symbol" w:hAnsi="Symbol" w:cs="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cs="Wingdings" w:hint="default"/>
      </w:rPr>
    </w:lvl>
    <w:lvl w:ilvl="6" w:tplc="040C0001">
      <w:start w:val="1"/>
      <w:numFmt w:val="bullet"/>
      <w:lvlText w:val=""/>
      <w:lvlJc w:val="left"/>
      <w:pPr>
        <w:ind w:left="5397" w:hanging="360"/>
      </w:pPr>
      <w:rPr>
        <w:rFonts w:ascii="Symbol" w:hAnsi="Symbol" w:cs="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cs="Wingdings" w:hint="default"/>
      </w:rPr>
    </w:lvl>
  </w:abstractNum>
  <w:abstractNum w:abstractNumId="16">
    <w:nsid w:val="3C111643"/>
    <w:multiLevelType w:val="hybridMultilevel"/>
    <w:tmpl w:val="86D2CD2C"/>
    <w:lvl w:ilvl="0" w:tplc="B7A24D4E">
      <w:start w:val="2"/>
      <w:numFmt w:val="decimal"/>
      <w:lvlText w:val="%1)"/>
      <w:lvlJc w:val="left"/>
      <w:pPr>
        <w:tabs>
          <w:tab w:val="num" w:pos="720"/>
        </w:tabs>
        <w:ind w:left="720" w:hanging="360"/>
      </w:pPr>
    </w:lvl>
    <w:lvl w:ilvl="1" w:tplc="3612A67C">
      <w:start w:val="1"/>
      <w:numFmt w:val="decimal"/>
      <w:lvlText w:val="%2)"/>
      <w:lvlJc w:val="left"/>
      <w:pPr>
        <w:tabs>
          <w:tab w:val="num" w:pos="1440"/>
        </w:tabs>
        <w:ind w:left="1440" w:hanging="360"/>
      </w:pPr>
    </w:lvl>
    <w:lvl w:ilvl="2" w:tplc="75EC7DDA">
      <w:start w:val="1"/>
      <w:numFmt w:val="decimal"/>
      <w:lvlText w:val="%3)"/>
      <w:lvlJc w:val="left"/>
      <w:pPr>
        <w:tabs>
          <w:tab w:val="num" w:pos="2160"/>
        </w:tabs>
        <w:ind w:left="2160" w:hanging="360"/>
      </w:pPr>
    </w:lvl>
    <w:lvl w:ilvl="3" w:tplc="7E8A1274">
      <w:start w:val="1"/>
      <w:numFmt w:val="decimal"/>
      <w:lvlText w:val="%4)"/>
      <w:lvlJc w:val="left"/>
      <w:pPr>
        <w:tabs>
          <w:tab w:val="num" w:pos="2880"/>
        </w:tabs>
        <w:ind w:left="2880" w:hanging="360"/>
      </w:pPr>
    </w:lvl>
    <w:lvl w:ilvl="4" w:tplc="68421C66">
      <w:start w:val="1"/>
      <w:numFmt w:val="decimal"/>
      <w:lvlText w:val="%5)"/>
      <w:lvlJc w:val="left"/>
      <w:pPr>
        <w:tabs>
          <w:tab w:val="num" w:pos="3600"/>
        </w:tabs>
        <w:ind w:left="3600" w:hanging="360"/>
      </w:pPr>
    </w:lvl>
    <w:lvl w:ilvl="5" w:tplc="FC26E5E2">
      <w:start w:val="1"/>
      <w:numFmt w:val="decimal"/>
      <w:lvlText w:val="%6)"/>
      <w:lvlJc w:val="left"/>
      <w:pPr>
        <w:tabs>
          <w:tab w:val="num" w:pos="4320"/>
        </w:tabs>
        <w:ind w:left="4320" w:hanging="360"/>
      </w:pPr>
    </w:lvl>
    <w:lvl w:ilvl="6" w:tplc="BA9A497A">
      <w:start w:val="1"/>
      <w:numFmt w:val="decimal"/>
      <w:lvlText w:val="%7)"/>
      <w:lvlJc w:val="left"/>
      <w:pPr>
        <w:tabs>
          <w:tab w:val="num" w:pos="5040"/>
        </w:tabs>
        <w:ind w:left="5040" w:hanging="360"/>
      </w:pPr>
    </w:lvl>
    <w:lvl w:ilvl="7" w:tplc="5954548C">
      <w:start w:val="1"/>
      <w:numFmt w:val="decimal"/>
      <w:lvlText w:val="%8)"/>
      <w:lvlJc w:val="left"/>
      <w:pPr>
        <w:tabs>
          <w:tab w:val="num" w:pos="5760"/>
        </w:tabs>
        <w:ind w:left="5760" w:hanging="360"/>
      </w:pPr>
    </w:lvl>
    <w:lvl w:ilvl="8" w:tplc="0554DA54">
      <w:start w:val="1"/>
      <w:numFmt w:val="decimal"/>
      <w:lvlText w:val="%9)"/>
      <w:lvlJc w:val="left"/>
      <w:pPr>
        <w:tabs>
          <w:tab w:val="num" w:pos="6480"/>
        </w:tabs>
        <w:ind w:left="6480" w:hanging="360"/>
      </w:pPr>
    </w:lvl>
  </w:abstractNum>
  <w:abstractNum w:abstractNumId="17">
    <w:nsid w:val="3DE361BF"/>
    <w:multiLevelType w:val="hybridMultilevel"/>
    <w:tmpl w:val="D1CAB392"/>
    <w:lvl w:ilvl="0" w:tplc="C6DC8EF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nsid w:val="42224B64"/>
    <w:multiLevelType w:val="hybridMultilevel"/>
    <w:tmpl w:val="F592824C"/>
    <w:lvl w:ilvl="0" w:tplc="1C789952">
      <w:start w:val="1"/>
      <w:numFmt w:val="decimal"/>
      <w:lvlText w:val="%1)"/>
      <w:lvlJc w:val="left"/>
      <w:pPr>
        <w:tabs>
          <w:tab w:val="num" w:pos="720"/>
        </w:tabs>
        <w:ind w:left="720" w:hanging="360"/>
      </w:pPr>
    </w:lvl>
    <w:lvl w:ilvl="1" w:tplc="8DE05E10">
      <w:start w:val="1"/>
      <w:numFmt w:val="decimal"/>
      <w:lvlText w:val="%2)"/>
      <w:lvlJc w:val="left"/>
      <w:pPr>
        <w:tabs>
          <w:tab w:val="num" w:pos="1440"/>
        </w:tabs>
        <w:ind w:left="1440" w:hanging="360"/>
      </w:pPr>
    </w:lvl>
    <w:lvl w:ilvl="2" w:tplc="0E2E3684">
      <w:start w:val="1"/>
      <w:numFmt w:val="decimal"/>
      <w:lvlText w:val="%3)"/>
      <w:lvlJc w:val="left"/>
      <w:pPr>
        <w:tabs>
          <w:tab w:val="num" w:pos="2160"/>
        </w:tabs>
        <w:ind w:left="2160" w:hanging="360"/>
      </w:pPr>
    </w:lvl>
    <w:lvl w:ilvl="3" w:tplc="B478CC50">
      <w:start w:val="1"/>
      <w:numFmt w:val="decimal"/>
      <w:lvlText w:val="%4)"/>
      <w:lvlJc w:val="left"/>
      <w:pPr>
        <w:tabs>
          <w:tab w:val="num" w:pos="2880"/>
        </w:tabs>
        <w:ind w:left="2880" w:hanging="360"/>
      </w:pPr>
    </w:lvl>
    <w:lvl w:ilvl="4" w:tplc="BA781B34">
      <w:start w:val="1"/>
      <w:numFmt w:val="decimal"/>
      <w:lvlText w:val="%5)"/>
      <w:lvlJc w:val="left"/>
      <w:pPr>
        <w:tabs>
          <w:tab w:val="num" w:pos="3600"/>
        </w:tabs>
        <w:ind w:left="3600" w:hanging="360"/>
      </w:pPr>
    </w:lvl>
    <w:lvl w:ilvl="5" w:tplc="FDE86FE0">
      <w:start w:val="1"/>
      <w:numFmt w:val="decimal"/>
      <w:lvlText w:val="%6)"/>
      <w:lvlJc w:val="left"/>
      <w:pPr>
        <w:tabs>
          <w:tab w:val="num" w:pos="4320"/>
        </w:tabs>
        <w:ind w:left="4320" w:hanging="360"/>
      </w:pPr>
    </w:lvl>
    <w:lvl w:ilvl="6" w:tplc="69544916">
      <w:start w:val="1"/>
      <w:numFmt w:val="decimal"/>
      <w:lvlText w:val="%7)"/>
      <w:lvlJc w:val="left"/>
      <w:pPr>
        <w:tabs>
          <w:tab w:val="num" w:pos="5040"/>
        </w:tabs>
        <w:ind w:left="5040" w:hanging="360"/>
      </w:pPr>
    </w:lvl>
    <w:lvl w:ilvl="7" w:tplc="6130EEC2">
      <w:start w:val="1"/>
      <w:numFmt w:val="decimal"/>
      <w:lvlText w:val="%8)"/>
      <w:lvlJc w:val="left"/>
      <w:pPr>
        <w:tabs>
          <w:tab w:val="num" w:pos="5760"/>
        </w:tabs>
        <w:ind w:left="5760" w:hanging="360"/>
      </w:pPr>
    </w:lvl>
    <w:lvl w:ilvl="8" w:tplc="32D2F868">
      <w:start w:val="1"/>
      <w:numFmt w:val="decimal"/>
      <w:lvlText w:val="%9)"/>
      <w:lvlJc w:val="left"/>
      <w:pPr>
        <w:tabs>
          <w:tab w:val="num" w:pos="6480"/>
        </w:tabs>
        <w:ind w:left="6480" w:hanging="360"/>
      </w:pPr>
    </w:lvl>
  </w:abstractNum>
  <w:abstractNum w:abstractNumId="19">
    <w:nsid w:val="431F36F4"/>
    <w:multiLevelType w:val="hybridMultilevel"/>
    <w:tmpl w:val="4342C390"/>
    <w:lvl w:ilvl="0" w:tplc="169CAD0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43B962F0"/>
    <w:multiLevelType w:val="hybridMultilevel"/>
    <w:tmpl w:val="A67EAA94"/>
    <w:lvl w:ilvl="0" w:tplc="618E06D0">
      <w:start w:val="4"/>
      <w:numFmt w:val="decimal"/>
      <w:lvlText w:val="%1)"/>
      <w:lvlJc w:val="left"/>
      <w:pPr>
        <w:tabs>
          <w:tab w:val="num" w:pos="720"/>
        </w:tabs>
        <w:ind w:left="720" w:hanging="360"/>
      </w:pPr>
    </w:lvl>
    <w:lvl w:ilvl="1" w:tplc="B98E21B4">
      <w:start w:val="1"/>
      <w:numFmt w:val="decimal"/>
      <w:lvlText w:val="%2)"/>
      <w:lvlJc w:val="left"/>
      <w:pPr>
        <w:tabs>
          <w:tab w:val="num" w:pos="1440"/>
        </w:tabs>
        <w:ind w:left="1440" w:hanging="360"/>
      </w:pPr>
    </w:lvl>
    <w:lvl w:ilvl="2" w:tplc="45B455C2">
      <w:start w:val="1"/>
      <w:numFmt w:val="decimal"/>
      <w:lvlText w:val="%3)"/>
      <w:lvlJc w:val="left"/>
      <w:pPr>
        <w:tabs>
          <w:tab w:val="num" w:pos="2160"/>
        </w:tabs>
        <w:ind w:left="2160" w:hanging="360"/>
      </w:pPr>
    </w:lvl>
    <w:lvl w:ilvl="3" w:tplc="7DC692B8">
      <w:start w:val="1"/>
      <w:numFmt w:val="decimal"/>
      <w:lvlText w:val="%4)"/>
      <w:lvlJc w:val="left"/>
      <w:pPr>
        <w:tabs>
          <w:tab w:val="num" w:pos="2880"/>
        </w:tabs>
        <w:ind w:left="2880" w:hanging="360"/>
      </w:pPr>
    </w:lvl>
    <w:lvl w:ilvl="4" w:tplc="42145618">
      <w:start w:val="1"/>
      <w:numFmt w:val="decimal"/>
      <w:lvlText w:val="%5)"/>
      <w:lvlJc w:val="left"/>
      <w:pPr>
        <w:tabs>
          <w:tab w:val="num" w:pos="3600"/>
        </w:tabs>
        <w:ind w:left="3600" w:hanging="360"/>
      </w:pPr>
    </w:lvl>
    <w:lvl w:ilvl="5" w:tplc="4328B280">
      <w:start w:val="1"/>
      <w:numFmt w:val="decimal"/>
      <w:lvlText w:val="%6)"/>
      <w:lvlJc w:val="left"/>
      <w:pPr>
        <w:tabs>
          <w:tab w:val="num" w:pos="4320"/>
        </w:tabs>
        <w:ind w:left="4320" w:hanging="360"/>
      </w:pPr>
    </w:lvl>
    <w:lvl w:ilvl="6" w:tplc="7D2697D0">
      <w:start w:val="1"/>
      <w:numFmt w:val="decimal"/>
      <w:lvlText w:val="%7)"/>
      <w:lvlJc w:val="left"/>
      <w:pPr>
        <w:tabs>
          <w:tab w:val="num" w:pos="5040"/>
        </w:tabs>
        <w:ind w:left="5040" w:hanging="360"/>
      </w:pPr>
    </w:lvl>
    <w:lvl w:ilvl="7" w:tplc="8450867C">
      <w:start w:val="1"/>
      <w:numFmt w:val="decimal"/>
      <w:lvlText w:val="%8)"/>
      <w:lvlJc w:val="left"/>
      <w:pPr>
        <w:tabs>
          <w:tab w:val="num" w:pos="5760"/>
        </w:tabs>
        <w:ind w:left="5760" w:hanging="360"/>
      </w:pPr>
    </w:lvl>
    <w:lvl w:ilvl="8" w:tplc="BB8A3CC0">
      <w:start w:val="1"/>
      <w:numFmt w:val="decimal"/>
      <w:lvlText w:val="%9)"/>
      <w:lvlJc w:val="left"/>
      <w:pPr>
        <w:tabs>
          <w:tab w:val="num" w:pos="6480"/>
        </w:tabs>
        <w:ind w:left="6480" w:hanging="360"/>
      </w:pPr>
    </w:lvl>
  </w:abstractNum>
  <w:abstractNum w:abstractNumId="21">
    <w:nsid w:val="4E4F6212"/>
    <w:multiLevelType w:val="hybridMultilevel"/>
    <w:tmpl w:val="25023542"/>
    <w:lvl w:ilvl="0" w:tplc="CC100AB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nsid w:val="51091A42"/>
    <w:multiLevelType w:val="hybridMultilevel"/>
    <w:tmpl w:val="2DBABF6E"/>
    <w:lvl w:ilvl="0" w:tplc="040C0001">
      <w:start w:val="1"/>
      <w:numFmt w:val="bullet"/>
      <w:lvlText w:val=""/>
      <w:lvlJc w:val="left"/>
      <w:pPr>
        <w:ind w:left="1080" w:hanging="360"/>
      </w:pPr>
      <w:rPr>
        <w:rFonts w:ascii="Symbol" w:hAnsi="Symbol" w:cs="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cs="Wingdings" w:hint="default"/>
      </w:rPr>
    </w:lvl>
    <w:lvl w:ilvl="3" w:tplc="040C0001">
      <w:start w:val="1"/>
      <w:numFmt w:val="bullet"/>
      <w:lvlText w:val=""/>
      <w:lvlJc w:val="left"/>
      <w:pPr>
        <w:ind w:left="3240" w:hanging="360"/>
      </w:pPr>
      <w:rPr>
        <w:rFonts w:ascii="Symbol" w:hAnsi="Symbol" w:cs="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cs="Wingdings" w:hint="default"/>
      </w:rPr>
    </w:lvl>
    <w:lvl w:ilvl="6" w:tplc="040C0001">
      <w:start w:val="1"/>
      <w:numFmt w:val="bullet"/>
      <w:lvlText w:val=""/>
      <w:lvlJc w:val="left"/>
      <w:pPr>
        <w:ind w:left="5400" w:hanging="360"/>
      </w:pPr>
      <w:rPr>
        <w:rFonts w:ascii="Symbol" w:hAnsi="Symbol" w:cs="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cs="Wingdings" w:hint="default"/>
      </w:rPr>
    </w:lvl>
  </w:abstractNum>
  <w:abstractNum w:abstractNumId="23">
    <w:nsid w:val="59D757E8"/>
    <w:multiLevelType w:val="hybridMultilevel"/>
    <w:tmpl w:val="4C2CB328"/>
    <w:lvl w:ilvl="0" w:tplc="8FAC44FA">
      <w:start w:val="3"/>
      <w:numFmt w:val="decimal"/>
      <w:lvlText w:val="%1)"/>
      <w:lvlJc w:val="left"/>
      <w:pPr>
        <w:tabs>
          <w:tab w:val="num" w:pos="720"/>
        </w:tabs>
        <w:ind w:left="720" w:hanging="360"/>
      </w:pPr>
    </w:lvl>
    <w:lvl w:ilvl="1" w:tplc="A6C0ACAC">
      <w:start w:val="1"/>
      <w:numFmt w:val="decimal"/>
      <w:lvlText w:val="%2)"/>
      <w:lvlJc w:val="left"/>
      <w:pPr>
        <w:tabs>
          <w:tab w:val="num" w:pos="1440"/>
        </w:tabs>
        <w:ind w:left="1440" w:hanging="360"/>
      </w:pPr>
    </w:lvl>
    <w:lvl w:ilvl="2" w:tplc="C0FAB938">
      <w:start w:val="1"/>
      <w:numFmt w:val="decimal"/>
      <w:lvlText w:val="%3)"/>
      <w:lvlJc w:val="left"/>
      <w:pPr>
        <w:tabs>
          <w:tab w:val="num" w:pos="2160"/>
        </w:tabs>
        <w:ind w:left="2160" w:hanging="360"/>
      </w:pPr>
    </w:lvl>
    <w:lvl w:ilvl="3" w:tplc="21D42368">
      <w:start w:val="1"/>
      <w:numFmt w:val="decimal"/>
      <w:lvlText w:val="%4)"/>
      <w:lvlJc w:val="left"/>
      <w:pPr>
        <w:tabs>
          <w:tab w:val="num" w:pos="2880"/>
        </w:tabs>
        <w:ind w:left="2880" w:hanging="360"/>
      </w:pPr>
    </w:lvl>
    <w:lvl w:ilvl="4" w:tplc="D100A89E">
      <w:start w:val="1"/>
      <w:numFmt w:val="decimal"/>
      <w:lvlText w:val="%5)"/>
      <w:lvlJc w:val="left"/>
      <w:pPr>
        <w:tabs>
          <w:tab w:val="num" w:pos="3600"/>
        </w:tabs>
        <w:ind w:left="3600" w:hanging="360"/>
      </w:pPr>
    </w:lvl>
    <w:lvl w:ilvl="5" w:tplc="425AE82C">
      <w:start w:val="1"/>
      <w:numFmt w:val="decimal"/>
      <w:lvlText w:val="%6)"/>
      <w:lvlJc w:val="left"/>
      <w:pPr>
        <w:tabs>
          <w:tab w:val="num" w:pos="4320"/>
        </w:tabs>
        <w:ind w:left="4320" w:hanging="360"/>
      </w:pPr>
    </w:lvl>
    <w:lvl w:ilvl="6" w:tplc="A6DCC258">
      <w:start w:val="1"/>
      <w:numFmt w:val="decimal"/>
      <w:lvlText w:val="%7)"/>
      <w:lvlJc w:val="left"/>
      <w:pPr>
        <w:tabs>
          <w:tab w:val="num" w:pos="5040"/>
        </w:tabs>
        <w:ind w:left="5040" w:hanging="360"/>
      </w:pPr>
    </w:lvl>
    <w:lvl w:ilvl="7" w:tplc="223469AA">
      <w:start w:val="1"/>
      <w:numFmt w:val="decimal"/>
      <w:lvlText w:val="%8)"/>
      <w:lvlJc w:val="left"/>
      <w:pPr>
        <w:tabs>
          <w:tab w:val="num" w:pos="5760"/>
        </w:tabs>
        <w:ind w:left="5760" w:hanging="360"/>
      </w:pPr>
    </w:lvl>
    <w:lvl w:ilvl="8" w:tplc="29D082B2">
      <w:start w:val="1"/>
      <w:numFmt w:val="decimal"/>
      <w:lvlText w:val="%9)"/>
      <w:lvlJc w:val="left"/>
      <w:pPr>
        <w:tabs>
          <w:tab w:val="num" w:pos="6480"/>
        </w:tabs>
        <w:ind w:left="6480" w:hanging="360"/>
      </w:pPr>
    </w:lvl>
  </w:abstractNum>
  <w:abstractNum w:abstractNumId="24">
    <w:nsid w:val="5C12602B"/>
    <w:multiLevelType w:val="hybridMultilevel"/>
    <w:tmpl w:val="3FF036AA"/>
    <w:lvl w:ilvl="0" w:tplc="51905704">
      <w:start w:val="32"/>
      <w:numFmt w:val="bullet"/>
      <w:lvlText w:val="-"/>
      <w:lvlJc w:val="left"/>
      <w:pPr>
        <w:ind w:left="1077" w:hanging="360"/>
      </w:pPr>
      <w:rPr>
        <w:rFonts w:ascii="Arial" w:eastAsia="Times New Roman" w:hAnsi="Aria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cs="Wingdings" w:hint="default"/>
      </w:rPr>
    </w:lvl>
    <w:lvl w:ilvl="3" w:tplc="040C0001">
      <w:start w:val="1"/>
      <w:numFmt w:val="bullet"/>
      <w:lvlText w:val=""/>
      <w:lvlJc w:val="left"/>
      <w:pPr>
        <w:ind w:left="3237" w:hanging="360"/>
      </w:pPr>
      <w:rPr>
        <w:rFonts w:ascii="Symbol" w:hAnsi="Symbol" w:cs="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cs="Wingdings" w:hint="default"/>
      </w:rPr>
    </w:lvl>
    <w:lvl w:ilvl="6" w:tplc="040C0001">
      <w:start w:val="1"/>
      <w:numFmt w:val="bullet"/>
      <w:lvlText w:val=""/>
      <w:lvlJc w:val="left"/>
      <w:pPr>
        <w:ind w:left="5397" w:hanging="360"/>
      </w:pPr>
      <w:rPr>
        <w:rFonts w:ascii="Symbol" w:hAnsi="Symbol" w:cs="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cs="Wingdings" w:hint="default"/>
      </w:rPr>
    </w:lvl>
  </w:abstractNum>
  <w:abstractNum w:abstractNumId="25">
    <w:nsid w:val="627A3A4F"/>
    <w:multiLevelType w:val="hybridMultilevel"/>
    <w:tmpl w:val="EDF47144"/>
    <w:lvl w:ilvl="0" w:tplc="07D610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nsid w:val="62DD1114"/>
    <w:multiLevelType w:val="hybridMultilevel"/>
    <w:tmpl w:val="AB6013DE"/>
    <w:lvl w:ilvl="0" w:tplc="78ACF5DC">
      <w:start w:val="1"/>
      <w:numFmt w:val="decimal"/>
      <w:lvlText w:val="(%1)"/>
      <w:lvlJc w:val="left"/>
      <w:pPr>
        <w:ind w:left="717" w:hanging="360"/>
      </w:pPr>
      <w:rPr>
        <w:rFonts w:hint="default"/>
      </w:rPr>
    </w:lvl>
    <w:lvl w:ilvl="1" w:tplc="040C0019">
      <w:start w:val="1"/>
      <w:numFmt w:val="lowerLetter"/>
      <w:lvlText w:val="%2."/>
      <w:lvlJc w:val="left"/>
      <w:pPr>
        <w:ind w:left="1437" w:hanging="360"/>
      </w:pPr>
    </w:lvl>
    <w:lvl w:ilvl="2" w:tplc="040C001B">
      <w:start w:val="1"/>
      <w:numFmt w:val="lowerRoman"/>
      <w:lvlText w:val="%3."/>
      <w:lvlJc w:val="right"/>
      <w:pPr>
        <w:ind w:left="2157" w:hanging="180"/>
      </w:pPr>
    </w:lvl>
    <w:lvl w:ilvl="3" w:tplc="040C000F">
      <w:start w:val="1"/>
      <w:numFmt w:val="decimal"/>
      <w:lvlText w:val="%4."/>
      <w:lvlJc w:val="left"/>
      <w:pPr>
        <w:ind w:left="2877" w:hanging="360"/>
      </w:pPr>
    </w:lvl>
    <w:lvl w:ilvl="4" w:tplc="040C0019">
      <w:start w:val="1"/>
      <w:numFmt w:val="lowerLetter"/>
      <w:lvlText w:val="%5."/>
      <w:lvlJc w:val="left"/>
      <w:pPr>
        <w:ind w:left="3597" w:hanging="360"/>
      </w:pPr>
    </w:lvl>
    <w:lvl w:ilvl="5" w:tplc="040C001B">
      <w:start w:val="1"/>
      <w:numFmt w:val="lowerRoman"/>
      <w:lvlText w:val="%6."/>
      <w:lvlJc w:val="right"/>
      <w:pPr>
        <w:ind w:left="4317" w:hanging="180"/>
      </w:pPr>
    </w:lvl>
    <w:lvl w:ilvl="6" w:tplc="040C000F">
      <w:start w:val="1"/>
      <w:numFmt w:val="decimal"/>
      <w:lvlText w:val="%7."/>
      <w:lvlJc w:val="left"/>
      <w:pPr>
        <w:ind w:left="5037" w:hanging="360"/>
      </w:pPr>
    </w:lvl>
    <w:lvl w:ilvl="7" w:tplc="040C0019">
      <w:start w:val="1"/>
      <w:numFmt w:val="lowerLetter"/>
      <w:lvlText w:val="%8."/>
      <w:lvlJc w:val="left"/>
      <w:pPr>
        <w:ind w:left="5757" w:hanging="360"/>
      </w:pPr>
    </w:lvl>
    <w:lvl w:ilvl="8" w:tplc="040C001B">
      <w:start w:val="1"/>
      <w:numFmt w:val="lowerRoman"/>
      <w:lvlText w:val="%9."/>
      <w:lvlJc w:val="right"/>
      <w:pPr>
        <w:ind w:left="6477" w:hanging="180"/>
      </w:pPr>
    </w:lvl>
  </w:abstractNum>
  <w:abstractNum w:abstractNumId="27">
    <w:nsid w:val="63DF3B91"/>
    <w:multiLevelType w:val="hybridMultilevel"/>
    <w:tmpl w:val="DCBA552C"/>
    <w:lvl w:ilvl="0" w:tplc="F9E8CEAA">
      <w:start w:val="1"/>
      <w:numFmt w:val="lowerLetter"/>
      <w:lvlText w:val="%1)"/>
      <w:lvlJc w:val="left"/>
      <w:pPr>
        <w:tabs>
          <w:tab w:val="num" w:pos="720"/>
        </w:tabs>
        <w:ind w:left="720" w:hanging="360"/>
      </w:pPr>
    </w:lvl>
    <w:lvl w:ilvl="1" w:tplc="C8006532">
      <w:start w:val="1"/>
      <w:numFmt w:val="lowerLetter"/>
      <w:lvlText w:val="%2)"/>
      <w:lvlJc w:val="left"/>
      <w:pPr>
        <w:tabs>
          <w:tab w:val="num" w:pos="1440"/>
        </w:tabs>
        <w:ind w:left="1440" w:hanging="360"/>
      </w:pPr>
    </w:lvl>
    <w:lvl w:ilvl="2" w:tplc="C8CCC3A8">
      <w:start w:val="1"/>
      <w:numFmt w:val="lowerLetter"/>
      <w:lvlText w:val="%3)"/>
      <w:lvlJc w:val="left"/>
      <w:pPr>
        <w:tabs>
          <w:tab w:val="num" w:pos="2160"/>
        </w:tabs>
        <w:ind w:left="2160" w:hanging="360"/>
      </w:pPr>
    </w:lvl>
    <w:lvl w:ilvl="3" w:tplc="9E44369E">
      <w:start w:val="1"/>
      <w:numFmt w:val="lowerLetter"/>
      <w:lvlText w:val="%4)"/>
      <w:lvlJc w:val="left"/>
      <w:pPr>
        <w:tabs>
          <w:tab w:val="num" w:pos="2880"/>
        </w:tabs>
        <w:ind w:left="2880" w:hanging="360"/>
      </w:pPr>
    </w:lvl>
    <w:lvl w:ilvl="4" w:tplc="B3680B3C">
      <w:start w:val="1"/>
      <w:numFmt w:val="lowerLetter"/>
      <w:lvlText w:val="%5)"/>
      <w:lvlJc w:val="left"/>
      <w:pPr>
        <w:tabs>
          <w:tab w:val="num" w:pos="3600"/>
        </w:tabs>
        <w:ind w:left="3600" w:hanging="360"/>
      </w:pPr>
    </w:lvl>
    <w:lvl w:ilvl="5" w:tplc="7AC8E1EA">
      <w:start w:val="1"/>
      <w:numFmt w:val="lowerLetter"/>
      <w:lvlText w:val="%6)"/>
      <w:lvlJc w:val="left"/>
      <w:pPr>
        <w:tabs>
          <w:tab w:val="num" w:pos="4320"/>
        </w:tabs>
        <w:ind w:left="4320" w:hanging="360"/>
      </w:pPr>
    </w:lvl>
    <w:lvl w:ilvl="6" w:tplc="7A9409E0">
      <w:start w:val="1"/>
      <w:numFmt w:val="lowerLetter"/>
      <w:lvlText w:val="%7)"/>
      <w:lvlJc w:val="left"/>
      <w:pPr>
        <w:tabs>
          <w:tab w:val="num" w:pos="5040"/>
        </w:tabs>
        <w:ind w:left="5040" w:hanging="360"/>
      </w:pPr>
    </w:lvl>
    <w:lvl w:ilvl="7" w:tplc="3154B8C6">
      <w:start w:val="1"/>
      <w:numFmt w:val="lowerLetter"/>
      <w:lvlText w:val="%8)"/>
      <w:lvlJc w:val="left"/>
      <w:pPr>
        <w:tabs>
          <w:tab w:val="num" w:pos="5760"/>
        </w:tabs>
        <w:ind w:left="5760" w:hanging="360"/>
      </w:pPr>
    </w:lvl>
    <w:lvl w:ilvl="8" w:tplc="1B3C0EF0">
      <w:start w:val="1"/>
      <w:numFmt w:val="lowerLetter"/>
      <w:lvlText w:val="%9)"/>
      <w:lvlJc w:val="left"/>
      <w:pPr>
        <w:tabs>
          <w:tab w:val="num" w:pos="6480"/>
        </w:tabs>
        <w:ind w:left="6480" w:hanging="360"/>
      </w:pPr>
    </w:lvl>
  </w:abstractNum>
  <w:abstractNum w:abstractNumId="28">
    <w:nsid w:val="687B71DA"/>
    <w:multiLevelType w:val="hybridMultilevel"/>
    <w:tmpl w:val="72A4658C"/>
    <w:lvl w:ilvl="0" w:tplc="90E89CB6">
      <w:start w:val="131"/>
      <w:numFmt w:val="bullet"/>
      <w:lvlText w:val="-"/>
      <w:lvlJc w:val="left"/>
      <w:pPr>
        <w:ind w:left="1352" w:hanging="360"/>
      </w:pPr>
      <w:rPr>
        <w:rFonts w:ascii="Calibri" w:eastAsia="Times New Roman" w:hAnsi="Calibri" w:hint="default"/>
      </w:rPr>
    </w:lvl>
    <w:lvl w:ilvl="1" w:tplc="040C0003">
      <w:start w:val="1"/>
      <w:numFmt w:val="bullet"/>
      <w:lvlText w:val="o"/>
      <w:lvlJc w:val="left"/>
      <w:pPr>
        <w:ind w:left="2072" w:hanging="360"/>
      </w:pPr>
      <w:rPr>
        <w:rFonts w:ascii="Courier New" w:hAnsi="Courier New" w:cs="Courier New" w:hint="default"/>
      </w:rPr>
    </w:lvl>
    <w:lvl w:ilvl="2" w:tplc="040C0005">
      <w:start w:val="1"/>
      <w:numFmt w:val="bullet"/>
      <w:lvlText w:val=""/>
      <w:lvlJc w:val="left"/>
      <w:pPr>
        <w:ind w:left="2792" w:hanging="360"/>
      </w:pPr>
      <w:rPr>
        <w:rFonts w:ascii="Wingdings" w:hAnsi="Wingdings" w:cs="Wingdings" w:hint="default"/>
      </w:rPr>
    </w:lvl>
    <w:lvl w:ilvl="3" w:tplc="040C0001">
      <w:start w:val="1"/>
      <w:numFmt w:val="bullet"/>
      <w:lvlText w:val=""/>
      <w:lvlJc w:val="left"/>
      <w:pPr>
        <w:ind w:left="3512" w:hanging="360"/>
      </w:pPr>
      <w:rPr>
        <w:rFonts w:ascii="Symbol" w:hAnsi="Symbol" w:cs="Symbol" w:hint="default"/>
      </w:rPr>
    </w:lvl>
    <w:lvl w:ilvl="4" w:tplc="040C0003">
      <w:start w:val="1"/>
      <w:numFmt w:val="bullet"/>
      <w:lvlText w:val="o"/>
      <w:lvlJc w:val="left"/>
      <w:pPr>
        <w:ind w:left="4232" w:hanging="360"/>
      </w:pPr>
      <w:rPr>
        <w:rFonts w:ascii="Courier New" w:hAnsi="Courier New" w:cs="Courier New" w:hint="default"/>
      </w:rPr>
    </w:lvl>
    <w:lvl w:ilvl="5" w:tplc="040C0005">
      <w:start w:val="1"/>
      <w:numFmt w:val="bullet"/>
      <w:lvlText w:val=""/>
      <w:lvlJc w:val="left"/>
      <w:pPr>
        <w:ind w:left="4952" w:hanging="360"/>
      </w:pPr>
      <w:rPr>
        <w:rFonts w:ascii="Wingdings" w:hAnsi="Wingdings" w:cs="Wingdings" w:hint="default"/>
      </w:rPr>
    </w:lvl>
    <w:lvl w:ilvl="6" w:tplc="040C0001">
      <w:start w:val="1"/>
      <w:numFmt w:val="bullet"/>
      <w:lvlText w:val=""/>
      <w:lvlJc w:val="left"/>
      <w:pPr>
        <w:ind w:left="5672" w:hanging="360"/>
      </w:pPr>
      <w:rPr>
        <w:rFonts w:ascii="Symbol" w:hAnsi="Symbol" w:cs="Symbol" w:hint="default"/>
      </w:rPr>
    </w:lvl>
    <w:lvl w:ilvl="7" w:tplc="040C0003">
      <w:start w:val="1"/>
      <w:numFmt w:val="bullet"/>
      <w:lvlText w:val="o"/>
      <w:lvlJc w:val="left"/>
      <w:pPr>
        <w:ind w:left="6392" w:hanging="360"/>
      </w:pPr>
      <w:rPr>
        <w:rFonts w:ascii="Courier New" w:hAnsi="Courier New" w:cs="Courier New" w:hint="default"/>
      </w:rPr>
    </w:lvl>
    <w:lvl w:ilvl="8" w:tplc="040C0005">
      <w:start w:val="1"/>
      <w:numFmt w:val="bullet"/>
      <w:lvlText w:val=""/>
      <w:lvlJc w:val="left"/>
      <w:pPr>
        <w:ind w:left="7112" w:hanging="360"/>
      </w:pPr>
      <w:rPr>
        <w:rFonts w:ascii="Wingdings" w:hAnsi="Wingdings" w:cs="Wingdings" w:hint="default"/>
      </w:rPr>
    </w:lvl>
  </w:abstractNum>
  <w:abstractNum w:abstractNumId="29">
    <w:nsid w:val="6A7E3CA8"/>
    <w:multiLevelType w:val="hybridMultilevel"/>
    <w:tmpl w:val="6E169F38"/>
    <w:lvl w:ilvl="0" w:tplc="A64AF63E">
      <w:start w:val="1"/>
      <w:numFmt w:val="bullet"/>
      <w:lvlText w:val=""/>
      <w:lvlJc w:val="left"/>
      <w:pPr>
        <w:tabs>
          <w:tab w:val="num" w:pos="720"/>
        </w:tabs>
        <w:ind w:left="720" w:hanging="360"/>
      </w:pPr>
      <w:rPr>
        <w:rFonts w:ascii="Wingdings" w:hAnsi="Wingdings" w:cs="Wingdings" w:hint="default"/>
      </w:rPr>
    </w:lvl>
    <w:lvl w:ilvl="1" w:tplc="2BB29712">
      <w:start w:val="1"/>
      <w:numFmt w:val="bullet"/>
      <w:lvlText w:val=""/>
      <w:lvlJc w:val="left"/>
      <w:pPr>
        <w:tabs>
          <w:tab w:val="num" w:pos="1440"/>
        </w:tabs>
        <w:ind w:left="1440" w:hanging="360"/>
      </w:pPr>
      <w:rPr>
        <w:rFonts w:ascii="Wingdings" w:hAnsi="Wingdings" w:cs="Wingdings" w:hint="default"/>
      </w:rPr>
    </w:lvl>
    <w:lvl w:ilvl="2" w:tplc="3BAEE81E">
      <w:start w:val="1"/>
      <w:numFmt w:val="bullet"/>
      <w:lvlText w:val=""/>
      <w:lvlJc w:val="left"/>
      <w:pPr>
        <w:tabs>
          <w:tab w:val="num" w:pos="2160"/>
        </w:tabs>
        <w:ind w:left="2160" w:hanging="360"/>
      </w:pPr>
      <w:rPr>
        <w:rFonts w:ascii="Wingdings" w:hAnsi="Wingdings" w:cs="Wingdings" w:hint="default"/>
      </w:rPr>
    </w:lvl>
    <w:lvl w:ilvl="3" w:tplc="82D00DC4">
      <w:start w:val="1"/>
      <w:numFmt w:val="bullet"/>
      <w:lvlText w:val=""/>
      <w:lvlJc w:val="left"/>
      <w:pPr>
        <w:tabs>
          <w:tab w:val="num" w:pos="2880"/>
        </w:tabs>
        <w:ind w:left="2880" w:hanging="360"/>
      </w:pPr>
      <w:rPr>
        <w:rFonts w:ascii="Wingdings" w:hAnsi="Wingdings" w:cs="Wingdings" w:hint="default"/>
      </w:rPr>
    </w:lvl>
    <w:lvl w:ilvl="4" w:tplc="53EC2078">
      <w:start w:val="1"/>
      <w:numFmt w:val="bullet"/>
      <w:lvlText w:val=""/>
      <w:lvlJc w:val="left"/>
      <w:pPr>
        <w:tabs>
          <w:tab w:val="num" w:pos="3600"/>
        </w:tabs>
        <w:ind w:left="3600" w:hanging="360"/>
      </w:pPr>
      <w:rPr>
        <w:rFonts w:ascii="Wingdings" w:hAnsi="Wingdings" w:cs="Wingdings" w:hint="default"/>
      </w:rPr>
    </w:lvl>
    <w:lvl w:ilvl="5" w:tplc="1B6AF95C">
      <w:start w:val="1"/>
      <w:numFmt w:val="bullet"/>
      <w:lvlText w:val=""/>
      <w:lvlJc w:val="left"/>
      <w:pPr>
        <w:tabs>
          <w:tab w:val="num" w:pos="4320"/>
        </w:tabs>
        <w:ind w:left="4320" w:hanging="360"/>
      </w:pPr>
      <w:rPr>
        <w:rFonts w:ascii="Wingdings" w:hAnsi="Wingdings" w:cs="Wingdings" w:hint="default"/>
      </w:rPr>
    </w:lvl>
    <w:lvl w:ilvl="6" w:tplc="C8A64558">
      <w:start w:val="1"/>
      <w:numFmt w:val="bullet"/>
      <w:lvlText w:val=""/>
      <w:lvlJc w:val="left"/>
      <w:pPr>
        <w:tabs>
          <w:tab w:val="num" w:pos="5040"/>
        </w:tabs>
        <w:ind w:left="5040" w:hanging="360"/>
      </w:pPr>
      <w:rPr>
        <w:rFonts w:ascii="Wingdings" w:hAnsi="Wingdings" w:cs="Wingdings" w:hint="default"/>
      </w:rPr>
    </w:lvl>
    <w:lvl w:ilvl="7" w:tplc="D200DA54">
      <w:start w:val="1"/>
      <w:numFmt w:val="bullet"/>
      <w:lvlText w:val=""/>
      <w:lvlJc w:val="left"/>
      <w:pPr>
        <w:tabs>
          <w:tab w:val="num" w:pos="5760"/>
        </w:tabs>
        <w:ind w:left="5760" w:hanging="360"/>
      </w:pPr>
      <w:rPr>
        <w:rFonts w:ascii="Wingdings" w:hAnsi="Wingdings" w:cs="Wingdings" w:hint="default"/>
      </w:rPr>
    </w:lvl>
    <w:lvl w:ilvl="8" w:tplc="66146AEA">
      <w:start w:val="1"/>
      <w:numFmt w:val="bullet"/>
      <w:lvlText w:val=""/>
      <w:lvlJc w:val="left"/>
      <w:pPr>
        <w:tabs>
          <w:tab w:val="num" w:pos="6480"/>
        </w:tabs>
        <w:ind w:left="6480" w:hanging="360"/>
      </w:pPr>
      <w:rPr>
        <w:rFonts w:ascii="Wingdings" w:hAnsi="Wingdings" w:cs="Wingdings" w:hint="default"/>
      </w:rPr>
    </w:lvl>
  </w:abstractNum>
  <w:abstractNum w:abstractNumId="30">
    <w:nsid w:val="6B9B6C5B"/>
    <w:multiLevelType w:val="hybridMultilevel"/>
    <w:tmpl w:val="A82AD8D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nsid w:val="770A1DDB"/>
    <w:multiLevelType w:val="hybridMultilevel"/>
    <w:tmpl w:val="27984FDE"/>
    <w:lvl w:ilvl="0" w:tplc="52AE469E">
      <w:start w:val="3"/>
      <w:numFmt w:val="decimal"/>
      <w:lvlText w:val="%1)"/>
      <w:lvlJc w:val="left"/>
      <w:pPr>
        <w:tabs>
          <w:tab w:val="num" w:pos="720"/>
        </w:tabs>
        <w:ind w:left="720" w:hanging="360"/>
      </w:pPr>
    </w:lvl>
    <w:lvl w:ilvl="1" w:tplc="8592D7C6">
      <w:start w:val="1"/>
      <w:numFmt w:val="decimal"/>
      <w:lvlText w:val="%2)"/>
      <w:lvlJc w:val="left"/>
      <w:pPr>
        <w:tabs>
          <w:tab w:val="num" w:pos="1440"/>
        </w:tabs>
        <w:ind w:left="1440" w:hanging="360"/>
      </w:pPr>
    </w:lvl>
    <w:lvl w:ilvl="2" w:tplc="50DEA5F8">
      <w:start w:val="1"/>
      <w:numFmt w:val="decimal"/>
      <w:lvlText w:val="%3)"/>
      <w:lvlJc w:val="left"/>
      <w:pPr>
        <w:tabs>
          <w:tab w:val="num" w:pos="2160"/>
        </w:tabs>
        <w:ind w:left="2160" w:hanging="360"/>
      </w:pPr>
    </w:lvl>
    <w:lvl w:ilvl="3" w:tplc="920662A4">
      <w:start w:val="1"/>
      <w:numFmt w:val="decimal"/>
      <w:lvlText w:val="%4)"/>
      <w:lvlJc w:val="left"/>
      <w:pPr>
        <w:tabs>
          <w:tab w:val="num" w:pos="2880"/>
        </w:tabs>
        <w:ind w:left="2880" w:hanging="360"/>
      </w:pPr>
    </w:lvl>
    <w:lvl w:ilvl="4" w:tplc="8F788B54">
      <w:start w:val="1"/>
      <w:numFmt w:val="decimal"/>
      <w:lvlText w:val="%5)"/>
      <w:lvlJc w:val="left"/>
      <w:pPr>
        <w:tabs>
          <w:tab w:val="num" w:pos="3600"/>
        </w:tabs>
        <w:ind w:left="3600" w:hanging="360"/>
      </w:pPr>
    </w:lvl>
    <w:lvl w:ilvl="5" w:tplc="BCCA20F8">
      <w:start w:val="1"/>
      <w:numFmt w:val="decimal"/>
      <w:lvlText w:val="%6)"/>
      <w:lvlJc w:val="left"/>
      <w:pPr>
        <w:tabs>
          <w:tab w:val="num" w:pos="4320"/>
        </w:tabs>
        <w:ind w:left="4320" w:hanging="360"/>
      </w:pPr>
    </w:lvl>
    <w:lvl w:ilvl="6" w:tplc="49966856">
      <w:start w:val="1"/>
      <w:numFmt w:val="decimal"/>
      <w:lvlText w:val="%7)"/>
      <w:lvlJc w:val="left"/>
      <w:pPr>
        <w:tabs>
          <w:tab w:val="num" w:pos="5040"/>
        </w:tabs>
        <w:ind w:left="5040" w:hanging="360"/>
      </w:pPr>
    </w:lvl>
    <w:lvl w:ilvl="7" w:tplc="48A0A118">
      <w:start w:val="1"/>
      <w:numFmt w:val="decimal"/>
      <w:lvlText w:val="%8)"/>
      <w:lvlJc w:val="left"/>
      <w:pPr>
        <w:tabs>
          <w:tab w:val="num" w:pos="5760"/>
        </w:tabs>
        <w:ind w:left="5760" w:hanging="360"/>
      </w:pPr>
    </w:lvl>
    <w:lvl w:ilvl="8" w:tplc="93F8312C">
      <w:start w:val="1"/>
      <w:numFmt w:val="decimal"/>
      <w:lvlText w:val="%9)"/>
      <w:lvlJc w:val="left"/>
      <w:pPr>
        <w:tabs>
          <w:tab w:val="num" w:pos="6480"/>
        </w:tabs>
        <w:ind w:left="6480" w:hanging="360"/>
      </w:pPr>
    </w:lvl>
  </w:abstractNum>
  <w:abstractNum w:abstractNumId="32">
    <w:nsid w:val="770D7151"/>
    <w:multiLevelType w:val="hybridMultilevel"/>
    <w:tmpl w:val="045A50BE"/>
    <w:lvl w:ilvl="0" w:tplc="E9DC356C">
      <w:start w:val="1"/>
      <w:numFmt w:val="decimal"/>
      <w:lvlText w:val="%1)"/>
      <w:lvlJc w:val="left"/>
      <w:pPr>
        <w:tabs>
          <w:tab w:val="num" w:pos="720"/>
        </w:tabs>
        <w:ind w:left="720" w:hanging="360"/>
      </w:pPr>
    </w:lvl>
    <w:lvl w:ilvl="1" w:tplc="C68A13A0">
      <w:start w:val="1"/>
      <w:numFmt w:val="decimal"/>
      <w:lvlText w:val="%2)"/>
      <w:lvlJc w:val="left"/>
      <w:pPr>
        <w:tabs>
          <w:tab w:val="num" w:pos="1440"/>
        </w:tabs>
        <w:ind w:left="1440" w:hanging="360"/>
      </w:pPr>
    </w:lvl>
    <w:lvl w:ilvl="2" w:tplc="446C4A76">
      <w:start w:val="1"/>
      <w:numFmt w:val="decimal"/>
      <w:lvlText w:val="%3)"/>
      <w:lvlJc w:val="left"/>
      <w:pPr>
        <w:tabs>
          <w:tab w:val="num" w:pos="2160"/>
        </w:tabs>
        <w:ind w:left="2160" w:hanging="360"/>
      </w:pPr>
    </w:lvl>
    <w:lvl w:ilvl="3" w:tplc="E3B8A254">
      <w:start w:val="1"/>
      <w:numFmt w:val="decimal"/>
      <w:lvlText w:val="%4)"/>
      <w:lvlJc w:val="left"/>
      <w:pPr>
        <w:tabs>
          <w:tab w:val="num" w:pos="2880"/>
        </w:tabs>
        <w:ind w:left="2880" w:hanging="360"/>
      </w:pPr>
    </w:lvl>
    <w:lvl w:ilvl="4" w:tplc="05828D6E">
      <w:start w:val="1"/>
      <w:numFmt w:val="decimal"/>
      <w:lvlText w:val="%5)"/>
      <w:lvlJc w:val="left"/>
      <w:pPr>
        <w:tabs>
          <w:tab w:val="num" w:pos="3600"/>
        </w:tabs>
        <w:ind w:left="3600" w:hanging="360"/>
      </w:pPr>
    </w:lvl>
    <w:lvl w:ilvl="5" w:tplc="584CE940">
      <w:start w:val="1"/>
      <w:numFmt w:val="decimal"/>
      <w:lvlText w:val="%6)"/>
      <w:lvlJc w:val="left"/>
      <w:pPr>
        <w:tabs>
          <w:tab w:val="num" w:pos="4320"/>
        </w:tabs>
        <w:ind w:left="4320" w:hanging="360"/>
      </w:pPr>
    </w:lvl>
    <w:lvl w:ilvl="6" w:tplc="EE64F896">
      <w:start w:val="1"/>
      <w:numFmt w:val="decimal"/>
      <w:lvlText w:val="%7)"/>
      <w:lvlJc w:val="left"/>
      <w:pPr>
        <w:tabs>
          <w:tab w:val="num" w:pos="5040"/>
        </w:tabs>
        <w:ind w:left="5040" w:hanging="360"/>
      </w:pPr>
    </w:lvl>
    <w:lvl w:ilvl="7" w:tplc="5342A36A">
      <w:start w:val="1"/>
      <w:numFmt w:val="decimal"/>
      <w:lvlText w:val="%8)"/>
      <w:lvlJc w:val="left"/>
      <w:pPr>
        <w:tabs>
          <w:tab w:val="num" w:pos="5760"/>
        </w:tabs>
        <w:ind w:left="5760" w:hanging="360"/>
      </w:pPr>
    </w:lvl>
    <w:lvl w:ilvl="8" w:tplc="86166C42">
      <w:start w:val="1"/>
      <w:numFmt w:val="decimal"/>
      <w:lvlText w:val="%9)"/>
      <w:lvlJc w:val="left"/>
      <w:pPr>
        <w:tabs>
          <w:tab w:val="num" w:pos="6480"/>
        </w:tabs>
        <w:ind w:left="6480" w:hanging="360"/>
      </w:pPr>
    </w:lvl>
  </w:abstractNum>
  <w:abstractNum w:abstractNumId="33">
    <w:nsid w:val="77BE7A30"/>
    <w:multiLevelType w:val="hybridMultilevel"/>
    <w:tmpl w:val="EDF47144"/>
    <w:lvl w:ilvl="0" w:tplc="07D610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nsid w:val="77EC7C8E"/>
    <w:multiLevelType w:val="hybridMultilevel"/>
    <w:tmpl w:val="34260C82"/>
    <w:lvl w:ilvl="0" w:tplc="27901D1C">
      <w:start w:val="1"/>
      <w:numFmt w:val="lowerLetter"/>
      <w:lvlText w:val="%1)"/>
      <w:lvlJc w:val="left"/>
      <w:pPr>
        <w:tabs>
          <w:tab w:val="num" w:pos="720"/>
        </w:tabs>
        <w:ind w:left="720" w:hanging="360"/>
      </w:pPr>
    </w:lvl>
    <w:lvl w:ilvl="1" w:tplc="00D0ACEC">
      <w:start w:val="1"/>
      <w:numFmt w:val="lowerLetter"/>
      <w:lvlText w:val="%2)"/>
      <w:lvlJc w:val="left"/>
      <w:pPr>
        <w:tabs>
          <w:tab w:val="num" w:pos="1440"/>
        </w:tabs>
        <w:ind w:left="1440" w:hanging="360"/>
      </w:pPr>
    </w:lvl>
    <w:lvl w:ilvl="2" w:tplc="5FA22A86">
      <w:start w:val="1"/>
      <w:numFmt w:val="lowerLetter"/>
      <w:lvlText w:val="%3)"/>
      <w:lvlJc w:val="left"/>
      <w:pPr>
        <w:tabs>
          <w:tab w:val="num" w:pos="2160"/>
        </w:tabs>
        <w:ind w:left="2160" w:hanging="360"/>
      </w:pPr>
    </w:lvl>
    <w:lvl w:ilvl="3" w:tplc="A1828A3C">
      <w:start w:val="1"/>
      <w:numFmt w:val="lowerLetter"/>
      <w:lvlText w:val="%4)"/>
      <w:lvlJc w:val="left"/>
      <w:pPr>
        <w:tabs>
          <w:tab w:val="num" w:pos="2880"/>
        </w:tabs>
        <w:ind w:left="2880" w:hanging="360"/>
      </w:pPr>
    </w:lvl>
    <w:lvl w:ilvl="4" w:tplc="AAA6196A">
      <w:start w:val="1"/>
      <w:numFmt w:val="lowerLetter"/>
      <w:lvlText w:val="%5)"/>
      <w:lvlJc w:val="left"/>
      <w:pPr>
        <w:tabs>
          <w:tab w:val="num" w:pos="3600"/>
        </w:tabs>
        <w:ind w:left="3600" w:hanging="360"/>
      </w:pPr>
    </w:lvl>
    <w:lvl w:ilvl="5" w:tplc="74D2F90A">
      <w:start w:val="1"/>
      <w:numFmt w:val="lowerLetter"/>
      <w:lvlText w:val="%6)"/>
      <w:lvlJc w:val="left"/>
      <w:pPr>
        <w:tabs>
          <w:tab w:val="num" w:pos="4320"/>
        </w:tabs>
        <w:ind w:left="4320" w:hanging="360"/>
      </w:pPr>
    </w:lvl>
    <w:lvl w:ilvl="6" w:tplc="97C01CCA">
      <w:start w:val="1"/>
      <w:numFmt w:val="lowerLetter"/>
      <w:lvlText w:val="%7)"/>
      <w:lvlJc w:val="left"/>
      <w:pPr>
        <w:tabs>
          <w:tab w:val="num" w:pos="5040"/>
        </w:tabs>
        <w:ind w:left="5040" w:hanging="360"/>
      </w:pPr>
    </w:lvl>
    <w:lvl w:ilvl="7" w:tplc="C452F568">
      <w:start w:val="1"/>
      <w:numFmt w:val="lowerLetter"/>
      <w:lvlText w:val="%8)"/>
      <w:lvlJc w:val="left"/>
      <w:pPr>
        <w:tabs>
          <w:tab w:val="num" w:pos="5760"/>
        </w:tabs>
        <w:ind w:left="5760" w:hanging="360"/>
      </w:pPr>
    </w:lvl>
    <w:lvl w:ilvl="8" w:tplc="2272B806">
      <w:start w:val="1"/>
      <w:numFmt w:val="lowerLetter"/>
      <w:lvlText w:val="%9)"/>
      <w:lvlJc w:val="left"/>
      <w:pPr>
        <w:tabs>
          <w:tab w:val="num" w:pos="6480"/>
        </w:tabs>
        <w:ind w:left="6480" w:hanging="360"/>
      </w:pPr>
    </w:lvl>
  </w:abstractNum>
  <w:abstractNum w:abstractNumId="35">
    <w:nsid w:val="7A4E5CB8"/>
    <w:multiLevelType w:val="hybridMultilevel"/>
    <w:tmpl w:val="51C0817C"/>
    <w:lvl w:ilvl="0" w:tplc="68C49EB6">
      <w:start w:val="4"/>
      <w:numFmt w:val="bullet"/>
      <w:lvlText w:val="-"/>
      <w:lvlJc w:val="left"/>
      <w:pPr>
        <w:ind w:left="252" w:hanging="360"/>
      </w:pPr>
      <w:rPr>
        <w:rFonts w:ascii="Calibri" w:eastAsia="Times New Roman" w:hAnsi="Calibri" w:hint="default"/>
      </w:rPr>
    </w:lvl>
    <w:lvl w:ilvl="1" w:tplc="040C0003">
      <w:start w:val="1"/>
      <w:numFmt w:val="bullet"/>
      <w:lvlText w:val="o"/>
      <w:lvlJc w:val="left"/>
      <w:pPr>
        <w:ind w:left="972" w:hanging="360"/>
      </w:pPr>
      <w:rPr>
        <w:rFonts w:ascii="Courier New" w:hAnsi="Courier New" w:cs="Courier New" w:hint="default"/>
      </w:rPr>
    </w:lvl>
    <w:lvl w:ilvl="2" w:tplc="040C0005">
      <w:start w:val="1"/>
      <w:numFmt w:val="bullet"/>
      <w:lvlText w:val=""/>
      <w:lvlJc w:val="left"/>
      <w:pPr>
        <w:ind w:left="1692" w:hanging="360"/>
      </w:pPr>
      <w:rPr>
        <w:rFonts w:ascii="Wingdings" w:hAnsi="Wingdings" w:cs="Wingdings" w:hint="default"/>
      </w:rPr>
    </w:lvl>
    <w:lvl w:ilvl="3" w:tplc="040C0001">
      <w:start w:val="1"/>
      <w:numFmt w:val="bullet"/>
      <w:lvlText w:val=""/>
      <w:lvlJc w:val="left"/>
      <w:pPr>
        <w:ind w:left="2412" w:hanging="360"/>
      </w:pPr>
      <w:rPr>
        <w:rFonts w:ascii="Symbol" w:hAnsi="Symbol" w:cs="Symbol" w:hint="default"/>
      </w:rPr>
    </w:lvl>
    <w:lvl w:ilvl="4" w:tplc="040C0003">
      <w:start w:val="1"/>
      <w:numFmt w:val="bullet"/>
      <w:lvlText w:val="o"/>
      <w:lvlJc w:val="left"/>
      <w:pPr>
        <w:ind w:left="3132" w:hanging="360"/>
      </w:pPr>
      <w:rPr>
        <w:rFonts w:ascii="Courier New" w:hAnsi="Courier New" w:cs="Courier New" w:hint="default"/>
      </w:rPr>
    </w:lvl>
    <w:lvl w:ilvl="5" w:tplc="040C0005">
      <w:start w:val="1"/>
      <w:numFmt w:val="bullet"/>
      <w:lvlText w:val=""/>
      <w:lvlJc w:val="left"/>
      <w:pPr>
        <w:ind w:left="3852" w:hanging="360"/>
      </w:pPr>
      <w:rPr>
        <w:rFonts w:ascii="Wingdings" w:hAnsi="Wingdings" w:cs="Wingdings" w:hint="default"/>
      </w:rPr>
    </w:lvl>
    <w:lvl w:ilvl="6" w:tplc="040C0001">
      <w:start w:val="1"/>
      <w:numFmt w:val="bullet"/>
      <w:lvlText w:val=""/>
      <w:lvlJc w:val="left"/>
      <w:pPr>
        <w:ind w:left="4572" w:hanging="360"/>
      </w:pPr>
      <w:rPr>
        <w:rFonts w:ascii="Symbol" w:hAnsi="Symbol" w:cs="Symbol" w:hint="default"/>
      </w:rPr>
    </w:lvl>
    <w:lvl w:ilvl="7" w:tplc="040C0003">
      <w:start w:val="1"/>
      <w:numFmt w:val="bullet"/>
      <w:lvlText w:val="o"/>
      <w:lvlJc w:val="left"/>
      <w:pPr>
        <w:ind w:left="5292" w:hanging="360"/>
      </w:pPr>
      <w:rPr>
        <w:rFonts w:ascii="Courier New" w:hAnsi="Courier New" w:cs="Courier New" w:hint="default"/>
      </w:rPr>
    </w:lvl>
    <w:lvl w:ilvl="8" w:tplc="040C0005">
      <w:start w:val="1"/>
      <w:numFmt w:val="bullet"/>
      <w:lvlText w:val=""/>
      <w:lvlJc w:val="left"/>
      <w:pPr>
        <w:ind w:left="6012" w:hanging="360"/>
      </w:pPr>
      <w:rPr>
        <w:rFonts w:ascii="Wingdings" w:hAnsi="Wingdings" w:cs="Wingdings" w:hint="default"/>
      </w:rPr>
    </w:lvl>
  </w:abstractNum>
  <w:abstractNum w:abstractNumId="36">
    <w:nsid w:val="7A985DA4"/>
    <w:multiLevelType w:val="hybridMultilevel"/>
    <w:tmpl w:val="6E6E14C2"/>
    <w:lvl w:ilvl="0" w:tplc="994EC2AE">
      <w:start w:val="4"/>
      <w:numFmt w:val="decimal"/>
      <w:lvlText w:val="%1)"/>
      <w:lvlJc w:val="left"/>
      <w:pPr>
        <w:tabs>
          <w:tab w:val="num" w:pos="720"/>
        </w:tabs>
        <w:ind w:left="720" w:hanging="360"/>
      </w:pPr>
    </w:lvl>
    <w:lvl w:ilvl="1" w:tplc="05947996">
      <w:start w:val="1"/>
      <w:numFmt w:val="decimal"/>
      <w:lvlText w:val="%2)"/>
      <w:lvlJc w:val="left"/>
      <w:pPr>
        <w:tabs>
          <w:tab w:val="num" w:pos="1440"/>
        </w:tabs>
        <w:ind w:left="1440" w:hanging="360"/>
      </w:pPr>
    </w:lvl>
    <w:lvl w:ilvl="2" w:tplc="12E4F84C">
      <w:start w:val="1"/>
      <w:numFmt w:val="decimal"/>
      <w:lvlText w:val="%3)"/>
      <w:lvlJc w:val="left"/>
      <w:pPr>
        <w:tabs>
          <w:tab w:val="num" w:pos="2160"/>
        </w:tabs>
        <w:ind w:left="2160" w:hanging="360"/>
      </w:pPr>
    </w:lvl>
    <w:lvl w:ilvl="3" w:tplc="363C07E2">
      <w:start w:val="1"/>
      <w:numFmt w:val="decimal"/>
      <w:lvlText w:val="%4)"/>
      <w:lvlJc w:val="left"/>
      <w:pPr>
        <w:tabs>
          <w:tab w:val="num" w:pos="2880"/>
        </w:tabs>
        <w:ind w:left="2880" w:hanging="360"/>
      </w:pPr>
    </w:lvl>
    <w:lvl w:ilvl="4" w:tplc="AFAE582A">
      <w:start w:val="1"/>
      <w:numFmt w:val="decimal"/>
      <w:lvlText w:val="%5)"/>
      <w:lvlJc w:val="left"/>
      <w:pPr>
        <w:tabs>
          <w:tab w:val="num" w:pos="3600"/>
        </w:tabs>
        <w:ind w:left="3600" w:hanging="360"/>
      </w:pPr>
    </w:lvl>
    <w:lvl w:ilvl="5" w:tplc="DF324696">
      <w:start w:val="1"/>
      <w:numFmt w:val="decimal"/>
      <w:lvlText w:val="%6)"/>
      <w:lvlJc w:val="left"/>
      <w:pPr>
        <w:tabs>
          <w:tab w:val="num" w:pos="4320"/>
        </w:tabs>
        <w:ind w:left="4320" w:hanging="360"/>
      </w:pPr>
    </w:lvl>
    <w:lvl w:ilvl="6" w:tplc="3E6AEC54">
      <w:start w:val="1"/>
      <w:numFmt w:val="decimal"/>
      <w:lvlText w:val="%7)"/>
      <w:lvlJc w:val="left"/>
      <w:pPr>
        <w:tabs>
          <w:tab w:val="num" w:pos="5040"/>
        </w:tabs>
        <w:ind w:left="5040" w:hanging="360"/>
      </w:pPr>
    </w:lvl>
    <w:lvl w:ilvl="7" w:tplc="1944B7D4">
      <w:start w:val="1"/>
      <w:numFmt w:val="decimal"/>
      <w:lvlText w:val="%8)"/>
      <w:lvlJc w:val="left"/>
      <w:pPr>
        <w:tabs>
          <w:tab w:val="num" w:pos="5760"/>
        </w:tabs>
        <w:ind w:left="5760" w:hanging="360"/>
      </w:pPr>
    </w:lvl>
    <w:lvl w:ilvl="8" w:tplc="D2E88D86">
      <w:start w:val="1"/>
      <w:numFmt w:val="decimal"/>
      <w:lvlText w:val="%9)"/>
      <w:lvlJc w:val="left"/>
      <w:pPr>
        <w:tabs>
          <w:tab w:val="num" w:pos="6480"/>
        </w:tabs>
        <w:ind w:left="6480" w:hanging="360"/>
      </w:pPr>
    </w:lvl>
  </w:abstractNum>
  <w:abstractNum w:abstractNumId="37">
    <w:nsid w:val="7CE07CA2"/>
    <w:multiLevelType w:val="hybridMultilevel"/>
    <w:tmpl w:val="4EC8A52A"/>
    <w:lvl w:ilvl="0" w:tplc="E1A8786C">
      <w:start w:val="1"/>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8">
    <w:nsid w:val="7DFE3F82"/>
    <w:multiLevelType w:val="hybridMultilevel"/>
    <w:tmpl w:val="BE66DF14"/>
    <w:lvl w:ilvl="0" w:tplc="040C000B">
      <w:start w:val="1"/>
      <w:numFmt w:val="bullet"/>
      <w:lvlText w:val=""/>
      <w:lvlJc w:val="left"/>
      <w:pPr>
        <w:ind w:left="360" w:hanging="360"/>
      </w:pPr>
      <w:rPr>
        <w:rFonts w:ascii="Wingdings" w:hAnsi="Wingdings" w:cs="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num w:numId="1">
    <w:abstractNumId w:val="2"/>
  </w:num>
  <w:num w:numId="2">
    <w:abstractNumId w:val="22"/>
  </w:num>
  <w:num w:numId="3">
    <w:abstractNumId w:val="21"/>
  </w:num>
  <w:num w:numId="4">
    <w:abstractNumId w:val="3"/>
  </w:num>
  <w:num w:numId="5">
    <w:abstractNumId w:val="17"/>
  </w:num>
  <w:num w:numId="6">
    <w:abstractNumId w:val="6"/>
  </w:num>
  <w:num w:numId="7">
    <w:abstractNumId w:val="30"/>
  </w:num>
  <w:num w:numId="8">
    <w:abstractNumId w:val="32"/>
  </w:num>
  <w:num w:numId="9">
    <w:abstractNumId w:val="16"/>
  </w:num>
  <w:num w:numId="10">
    <w:abstractNumId w:val="23"/>
  </w:num>
  <w:num w:numId="11">
    <w:abstractNumId w:val="36"/>
  </w:num>
  <w:num w:numId="12">
    <w:abstractNumId w:val="34"/>
  </w:num>
  <w:num w:numId="13">
    <w:abstractNumId w:val="18"/>
  </w:num>
  <w:num w:numId="14">
    <w:abstractNumId w:val="1"/>
  </w:num>
  <w:num w:numId="15">
    <w:abstractNumId w:val="10"/>
  </w:num>
  <w:num w:numId="16">
    <w:abstractNumId w:val="31"/>
  </w:num>
  <w:num w:numId="17">
    <w:abstractNumId w:val="27"/>
  </w:num>
  <w:num w:numId="18">
    <w:abstractNumId w:val="29"/>
  </w:num>
  <w:num w:numId="19">
    <w:abstractNumId w:val="20"/>
  </w:num>
  <w:num w:numId="20">
    <w:abstractNumId w:val="9"/>
  </w:num>
  <w:num w:numId="21">
    <w:abstractNumId w:val="37"/>
  </w:num>
  <w:num w:numId="22">
    <w:abstractNumId w:val="35"/>
  </w:num>
  <w:num w:numId="23">
    <w:abstractNumId w:val="28"/>
  </w:num>
  <w:num w:numId="24">
    <w:abstractNumId w:val="26"/>
  </w:num>
  <w:num w:numId="25">
    <w:abstractNumId w:val="7"/>
  </w:num>
  <w:num w:numId="26">
    <w:abstractNumId w:val="19"/>
  </w:num>
  <w:num w:numId="27">
    <w:abstractNumId w:val="11"/>
  </w:num>
  <w:num w:numId="28">
    <w:abstractNumId w:val="13"/>
  </w:num>
  <w:num w:numId="29">
    <w:abstractNumId w:val="8"/>
  </w:num>
  <w:num w:numId="30">
    <w:abstractNumId w:val="14"/>
  </w:num>
  <w:num w:numId="31">
    <w:abstractNumId w:val="38"/>
  </w:num>
  <w:num w:numId="32">
    <w:abstractNumId w:val="25"/>
  </w:num>
  <w:num w:numId="33">
    <w:abstractNumId w:val="0"/>
  </w:num>
  <w:num w:numId="34">
    <w:abstractNumId w:val="12"/>
  </w:num>
  <w:num w:numId="35">
    <w:abstractNumId w:val="33"/>
  </w:num>
  <w:num w:numId="36">
    <w:abstractNumId w:val="4"/>
  </w:num>
  <w:num w:numId="37">
    <w:abstractNumId w:val="5"/>
  </w:num>
  <w:num w:numId="38">
    <w:abstractNumId w:val="1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EA6152"/>
    <w:rsid w:val="00013EE3"/>
    <w:rsid w:val="00020341"/>
    <w:rsid w:val="00042B11"/>
    <w:rsid w:val="0009546E"/>
    <w:rsid w:val="000B6473"/>
    <w:rsid w:val="000C0460"/>
    <w:rsid w:val="000F5D4F"/>
    <w:rsid w:val="00136D19"/>
    <w:rsid w:val="001956F6"/>
    <w:rsid w:val="001A434E"/>
    <w:rsid w:val="001A4920"/>
    <w:rsid w:val="001A7DCA"/>
    <w:rsid w:val="001E0276"/>
    <w:rsid w:val="001E04D7"/>
    <w:rsid w:val="002100F5"/>
    <w:rsid w:val="00245B3F"/>
    <w:rsid w:val="00266F2A"/>
    <w:rsid w:val="00281533"/>
    <w:rsid w:val="002A3E2E"/>
    <w:rsid w:val="002B7151"/>
    <w:rsid w:val="002C3C5E"/>
    <w:rsid w:val="002D51AB"/>
    <w:rsid w:val="00334F1F"/>
    <w:rsid w:val="003502D8"/>
    <w:rsid w:val="00355F6B"/>
    <w:rsid w:val="00373898"/>
    <w:rsid w:val="00386ED0"/>
    <w:rsid w:val="003D2A18"/>
    <w:rsid w:val="003D7857"/>
    <w:rsid w:val="00416DA4"/>
    <w:rsid w:val="004264A7"/>
    <w:rsid w:val="00467303"/>
    <w:rsid w:val="00471937"/>
    <w:rsid w:val="00496FAD"/>
    <w:rsid w:val="004A40B0"/>
    <w:rsid w:val="004E7B76"/>
    <w:rsid w:val="005010ED"/>
    <w:rsid w:val="00513A90"/>
    <w:rsid w:val="00542F72"/>
    <w:rsid w:val="0055337B"/>
    <w:rsid w:val="00575768"/>
    <w:rsid w:val="00577C4B"/>
    <w:rsid w:val="00596E1B"/>
    <w:rsid w:val="005C1522"/>
    <w:rsid w:val="00620454"/>
    <w:rsid w:val="006223D9"/>
    <w:rsid w:val="00655042"/>
    <w:rsid w:val="0067076B"/>
    <w:rsid w:val="00693121"/>
    <w:rsid w:val="006B2E8F"/>
    <w:rsid w:val="006E7A44"/>
    <w:rsid w:val="0075621C"/>
    <w:rsid w:val="0077180A"/>
    <w:rsid w:val="00786500"/>
    <w:rsid w:val="007931D6"/>
    <w:rsid w:val="007B0E5A"/>
    <w:rsid w:val="007B5500"/>
    <w:rsid w:val="007E2634"/>
    <w:rsid w:val="007F3C6D"/>
    <w:rsid w:val="00803706"/>
    <w:rsid w:val="00816B20"/>
    <w:rsid w:val="00824C4C"/>
    <w:rsid w:val="00833B10"/>
    <w:rsid w:val="00867F2F"/>
    <w:rsid w:val="00875ED5"/>
    <w:rsid w:val="00883A54"/>
    <w:rsid w:val="008B2AE0"/>
    <w:rsid w:val="008E7F98"/>
    <w:rsid w:val="008F5D61"/>
    <w:rsid w:val="00902807"/>
    <w:rsid w:val="009064C9"/>
    <w:rsid w:val="00920564"/>
    <w:rsid w:val="00944AAA"/>
    <w:rsid w:val="00950FEC"/>
    <w:rsid w:val="00952801"/>
    <w:rsid w:val="00983B4E"/>
    <w:rsid w:val="00987619"/>
    <w:rsid w:val="009D01CA"/>
    <w:rsid w:val="009D6292"/>
    <w:rsid w:val="009E20C0"/>
    <w:rsid w:val="009F4701"/>
    <w:rsid w:val="00A00287"/>
    <w:rsid w:val="00A16B48"/>
    <w:rsid w:val="00A2086D"/>
    <w:rsid w:val="00AA6002"/>
    <w:rsid w:val="00AA621C"/>
    <w:rsid w:val="00AA7BD8"/>
    <w:rsid w:val="00AE4C10"/>
    <w:rsid w:val="00AF24C7"/>
    <w:rsid w:val="00AF7F8E"/>
    <w:rsid w:val="00B132B5"/>
    <w:rsid w:val="00B22C5E"/>
    <w:rsid w:val="00B3116B"/>
    <w:rsid w:val="00B3511E"/>
    <w:rsid w:val="00B52943"/>
    <w:rsid w:val="00B8787B"/>
    <w:rsid w:val="00B94581"/>
    <w:rsid w:val="00B9521D"/>
    <w:rsid w:val="00BB5E04"/>
    <w:rsid w:val="00BC2F71"/>
    <w:rsid w:val="00BD4ED2"/>
    <w:rsid w:val="00BF21D8"/>
    <w:rsid w:val="00C06C1D"/>
    <w:rsid w:val="00C10547"/>
    <w:rsid w:val="00C326F9"/>
    <w:rsid w:val="00C33066"/>
    <w:rsid w:val="00C6511D"/>
    <w:rsid w:val="00C66F0F"/>
    <w:rsid w:val="00C75A40"/>
    <w:rsid w:val="00CD1BB6"/>
    <w:rsid w:val="00CF62E7"/>
    <w:rsid w:val="00D23653"/>
    <w:rsid w:val="00D33558"/>
    <w:rsid w:val="00D45643"/>
    <w:rsid w:val="00D52DEF"/>
    <w:rsid w:val="00D87F99"/>
    <w:rsid w:val="00D92173"/>
    <w:rsid w:val="00DC273F"/>
    <w:rsid w:val="00DE0FE3"/>
    <w:rsid w:val="00DE50E3"/>
    <w:rsid w:val="00DF0B1C"/>
    <w:rsid w:val="00DF1512"/>
    <w:rsid w:val="00E01442"/>
    <w:rsid w:val="00E01466"/>
    <w:rsid w:val="00E017E2"/>
    <w:rsid w:val="00E01C90"/>
    <w:rsid w:val="00E16C4E"/>
    <w:rsid w:val="00E51569"/>
    <w:rsid w:val="00E776B1"/>
    <w:rsid w:val="00EA6152"/>
    <w:rsid w:val="00EA682A"/>
    <w:rsid w:val="00EB7994"/>
    <w:rsid w:val="00EC300F"/>
    <w:rsid w:val="00EC69BB"/>
    <w:rsid w:val="00EC7649"/>
    <w:rsid w:val="00EE2E72"/>
    <w:rsid w:val="00F0490F"/>
    <w:rsid w:val="00F42BCB"/>
    <w:rsid w:val="00F53811"/>
    <w:rsid w:val="00F604D7"/>
    <w:rsid w:val="00F66C92"/>
    <w:rsid w:val="00FB001F"/>
    <w:rsid w:val="00FB3965"/>
    <w:rsid w:val="00FD0FD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AA"/>
    <w:pPr>
      <w:spacing w:after="200" w:line="276" w:lineRule="auto"/>
    </w:pPr>
    <w:rPr>
      <w:rFonts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EA6152"/>
    <w:pPr>
      <w:ind w:left="720"/>
    </w:pPr>
  </w:style>
  <w:style w:type="table" w:styleId="Grilledutableau">
    <w:name w:val="Table Grid"/>
    <w:basedOn w:val="TableauNormal"/>
    <w:uiPriority w:val="99"/>
    <w:rsid w:val="00D2365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FB001F"/>
    <w:pPr>
      <w:tabs>
        <w:tab w:val="center" w:pos="4536"/>
        <w:tab w:val="right" w:pos="9072"/>
      </w:tabs>
      <w:spacing w:after="0" w:line="240" w:lineRule="auto"/>
    </w:pPr>
  </w:style>
  <w:style w:type="character" w:customStyle="1" w:styleId="En-tteCar">
    <w:name w:val="En-tête Car"/>
    <w:basedOn w:val="Policepardfaut"/>
    <w:link w:val="En-tte"/>
    <w:uiPriority w:val="99"/>
    <w:locked/>
    <w:rsid w:val="00FB001F"/>
  </w:style>
  <w:style w:type="paragraph" w:styleId="Pieddepage">
    <w:name w:val="footer"/>
    <w:basedOn w:val="Normal"/>
    <w:link w:val="PieddepageCar"/>
    <w:uiPriority w:val="99"/>
    <w:rsid w:val="00FB001F"/>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FB001F"/>
  </w:style>
  <w:style w:type="paragraph" w:styleId="Textedebulles">
    <w:name w:val="Balloon Text"/>
    <w:basedOn w:val="Normal"/>
    <w:link w:val="TextedebullesCar"/>
    <w:uiPriority w:val="99"/>
    <w:semiHidden/>
    <w:rsid w:val="00FB00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B001F"/>
    <w:rPr>
      <w:rFonts w:ascii="Tahoma" w:hAnsi="Tahoma" w:cs="Tahoma"/>
      <w:sz w:val="16"/>
      <w:szCs w:val="16"/>
    </w:rPr>
  </w:style>
  <w:style w:type="paragraph" w:styleId="Sansinterligne">
    <w:name w:val="No Spacing"/>
    <w:uiPriority w:val="1"/>
    <w:qFormat/>
    <w:rsid w:val="005010ED"/>
    <w:rPr>
      <w:rFonts w:cs="Calibri"/>
      <w:lang w:eastAsia="en-US"/>
    </w:rPr>
  </w:style>
</w:styles>
</file>

<file path=word/webSettings.xml><?xml version="1.0" encoding="utf-8"?>
<w:webSettings xmlns:r="http://schemas.openxmlformats.org/officeDocument/2006/relationships" xmlns:w="http://schemas.openxmlformats.org/wordprocessingml/2006/main">
  <w:divs>
    <w:div w:id="318576714">
      <w:marLeft w:val="0"/>
      <w:marRight w:val="0"/>
      <w:marTop w:val="0"/>
      <w:marBottom w:val="0"/>
      <w:divBdr>
        <w:top w:val="none" w:sz="0" w:space="0" w:color="auto"/>
        <w:left w:val="none" w:sz="0" w:space="0" w:color="auto"/>
        <w:bottom w:val="none" w:sz="0" w:space="0" w:color="auto"/>
        <w:right w:val="none" w:sz="0" w:space="0" w:color="auto"/>
      </w:divBdr>
      <w:divsChild>
        <w:div w:id="318576712">
          <w:marLeft w:val="806"/>
          <w:marRight w:val="0"/>
          <w:marTop w:val="116"/>
          <w:marBottom w:val="0"/>
          <w:divBdr>
            <w:top w:val="none" w:sz="0" w:space="0" w:color="auto"/>
            <w:left w:val="none" w:sz="0" w:space="0" w:color="auto"/>
            <w:bottom w:val="none" w:sz="0" w:space="0" w:color="auto"/>
            <w:right w:val="none" w:sz="0" w:space="0" w:color="auto"/>
          </w:divBdr>
        </w:div>
        <w:div w:id="318576717">
          <w:marLeft w:val="806"/>
          <w:marRight w:val="0"/>
          <w:marTop w:val="116"/>
          <w:marBottom w:val="0"/>
          <w:divBdr>
            <w:top w:val="none" w:sz="0" w:space="0" w:color="auto"/>
            <w:left w:val="none" w:sz="0" w:space="0" w:color="auto"/>
            <w:bottom w:val="none" w:sz="0" w:space="0" w:color="auto"/>
            <w:right w:val="none" w:sz="0" w:space="0" w:color="auto"/>
          </w:divBdr>
        </w:div>
      </w:divsChild>
    </w:div>
    <w:div w:id="318576719">
      <w:marLeft w:val="0"/>
      <w:marRight w:val="0"/>
      <w:marTop w:val="0"/>
      <w:marBottom w:val="0"/>
      <w:divBdr>
        <w:top w:val="none" w:sz="0" w:space="0" w:color="auto"/>
        <w:left w:val="none" w:sz="0" w:space="0" w:color="auto"/>
        <w:bottom w:val="none" w:sz="0" w:space="0" w:color="auto"/>
        <w:right w:val="none" w:sz="0" w:space="0" w:color="auto"/>
      </w:divBdr>
      <w:divsChild>
        <w:div w:id="318576716">
          <w:marLeft w:val="806"/>
          <w:marRight w:val="0"/>
          <w:marTop w:val="116"/>
          <w:marBottom w:val="0"/>
          <w:divBdr>
            <w:top w:val="none" w:sz="0" w:space="0" w:color="auto"/>
            <w:left w:val="none" w:sz="0" w:space="0" w:color="auto"/>
            <w:bottom w:val="none" w:sz="0" w:space="0" w:color="auto"/>
            <w:right w:val="none" w:sz="0" w:space="0" w:color="auto"/>
          </w:divBdr>
        </w:div>
        <w:div w:id="318576730">
          <w:marLeft w:val="806"/>
          <w:marRight w:val="0"/>
          <w:marTop w:val="116"/>
          <w:marBottom w:val="0"/>
          <w:divBdr>
            <w:top w:val="none" w:sz="0" w:space="0" w:color="auto"/>
            <w:left w:val="none" w:sz="0" w:space="0" w:color="auto"/>
            <w:bottom w:val="none" w:sz="0" w:space="0" w:color="auto"/>
            <w:right w:val="none" w:sz="0" w:space="0" w:color="auto"/>
          </w:divBdr>
        </w:div>
      </w:divsChild>
    </w:div>
    <w:div w:id="318576724">
      <w:marLeft w:val="0"/>
      <w:marRight w:val="0"/>
      <w:marTop w:val="0"/>
      <w:marBottom w:val="0"/>
      <w:divBdr>
        <w:top w:val="none" w:sz="0" w:space="0" w:color="auto"/>
        <w:left w:val="none" w:sz="0" w:space="0" w:color="auto"/>
        <w:bottom w:val="none" w:sz="0" w:space="0" w:color="auto"/>
        <w:right w:val="none" w:sz="0" w:space="0" w:color="auto"/>
      </w:divBdr>
      <w:divsChild>
        <w:div w:id="318576711">
          <w:marLeft w:val="806"/>
          <w:marRight w:val="0"/>
          <w:marTop w:val="116"/>
          <w:marBottom w:val="0"/>
          <w:divBdr>
            <w:top w:val="none" w:sz="0" w:space="0" w:color="auto"/>
            <w:left w:val="none" w:sz="0" w:space="0" w:color="auto"/>
            <w:bottom w:val="none" w:sz="0" w:space="0" w:color="auto"/>
            <w:right w:val="none" w:sz="0" w:space="0" w:color="auto"/>
          </w:divBdr>
        </w:div>
        <w:div w:id="318576715">
          <w:marLeft w:val="432"/>
          <w:marRight w:val="0"/>
          <w:marTop w:val="116"/>
          <w:marBottom w:val="0"/>
          <w:divBdr>
            <w:top w:val="none" w:sz="0" w:space="0" w:color="auto"/>
            <w:left w:val="none" w:sz="0" w:space="0" w:color="auto"/>
            <w:bottom w:val="none" w:sz="0" w:space="0" w:color="auto"/>
            <w:right w:val="none" w:sz="0" w:space="0" w:color="auto"/>
          </w:divBdr>
        </w:div>
        <w:div w:id="318576722">
          <w:marLeft w:val="432"/>
          <w:marRight w:val="0"/>
          <w:marTop w:val="116"/>
          <w:marBottom w:val="0"/>
          <w:divBdr>
            <w:top w:val="none" w:sz="0" w:space="0" w:color="auto"/>
            <w:left w:val="none" w:sz="0" w:space="0" w:color="auto"/>
            <w:bottom w:val="none" w:sz="0" w:space="0" w:color="auto"/>
            <w:right w:val="none" w:sz="0" w:space="0" w:color="auto"/>
          </w:divBdr>
        </w:div>
        <w:div w:id="318576727">
          <w:marLeft w:val="432"/>
          <w:marRight w:val="0"/>
          <w:marTop w:val="116"/>
          <w:marBottom w:val="0"/>
          <w:divBdr>
            <w:top w:val="none" w:sz="0" w:space="0" w:color="auto"/>
            <w:left w:val="none" w:sz="0" w:space="0" w:color="auto"/>
            <w:bottom w:val="none" w:sz="0" w:space="0" w:color="auto"/>
            <w:right w:val="none" w:sz="0" w:space="0" w:color="auto"/>
          </w:divBdr>
        </w:div>
      </w:divsChild>
    </w:div>
    <w:div w:id="318576725">
      <w:marLeft w:val="0"/>
      <w:marRight w:val="0"/>
      <w:marTop w:val="0"/>
      <w:marBottom w:val="0"/>
      <w:divBdr>
        <w:top w:val="none" w:sz="0" w:space="0" w:color="auto"/>
        <w:left w:val="none" w:sz="0" w:space="0" w:color="auto"/>
        <w:bottom w:val="none" w:sz="0" w:space="0" w:color="auto"/>
        <w:right w:val="none" w:sz="0" w:space="0" w:color="auto"/>
      </w:divBdr>
      <w:divsChild>
        <w:div w:id="318576710">
          <w:marLeft w:val="806"/>
          <w:marRight w:val="0"/>
          <w:marTop w:val="116"/>
          <w:marBottom w:val="0"/>
          <w:divBdr>
            <w:top w:val="none" w:sz="0" w:space="0" w:color="auto"/>
            <w:left w:val="none" w:sz="0" w:space="0" w:color="auto"/>
            <w:bottom w:val="none" w:sz="0" w:space="0" w:color="auto"/>
            <w:right w:val="none" w:sz="0" w:space="0" w:color="auto"/>
          </w:divBdr>
        </w:div>
        <w:div w:id="318576713">
          <w:marLeft w:val="806"/>
          <w:marRight w:val="0"/>
          <w:marTop w:val="116"/>
          <w:marBottom w:val="0"/>
          <w:divBdr>
            <w:top w:val="none" w:sz="0" w:space="0" w:color="auto"/>
            <w:left w:val="none" w:sz="0" w:space="0" w:color="auto"/>
            <w:bottom w:val="none" w:sz="0" w:space="0" w:color="auto"/>
            <w:right w:val="none" w:sz="0" w:space="0" w:color="auto"/>
          </w:divBdr>
        </w:div>
        <w:div w:id="318576718">
          <w:marLeft w:val="432"/>
          <w:marRight w:val="0"/>
          <w:marTop w:val="116"/>
          <w:marBottom w:val="0"/>
          <w:divBdr>
            <w:top w:val="none" w:sz="0" w:space="0" w:color="auto"/>
            <w:left w:val="none" w:sz="0" w:space="0" w:color="auto"/>
            <w:bottom w:val="none" w:sz="0" w:space="0" w:color="auto"/>
            <w:right w:val="none" w:sz="0" w:space="0" w:color="auto"/>
          </w:divBdr>
        </w:div>
        <w:div w:id="318576720">
          <w:marLeft w:val="806"/>
          <w:marRight w:val="0"/>
          <w:marTop w:val="116"/>
          <w:marBottom w:val="0"/>
          <w:divBdr>
            <w:top w:val="none" w:sz="0" w:space="0" w:color="auto"/>
            <w:left w:val="none" w:sz="0" w:space="0" w:color="auto"/>
            <w:bottom w:val="none" w:sz="0" w:space="0" w:color="auto"/>
            <w:right w:val="none" w:sz="0" w:space="0" w:color="auto"/>
          </w:divBdr>
        </w:div>
        <w:div w:id="318576728">
          <w:marLeft w:val="432"/>
          <w:marRight w:val="0"/>
          <w:marTop w:val="116"/>
          <w:marBottom w:val="0"/>
          <w:divBdr>
            <w:top w:val="none" w:sz="0" w:space="0" w:color="auto"/>
            <w:left w:val="none" w:sz="0" w:space="0" w:color="auto"/>
            <w:bottom w:val="none" w:sz="0" w:space="0" w:color="auto"/>
            <w:right w:val="none" w:sz="0" w:space="0" w:color="auto"/>
          </w:divBdr>
        </w:div>
      </w:divsChild>
    </w:div>
    <w:div w:id="318576726">
      <w:marLeft w:val="0"/>
      <w:marRight w:val="0"/>
      <w:marTop w:val="0"/>
      <w:marBottom w:val="0"/>
      <w:divBdr>
        <w:top w:val="none" w:sz="0" w:space="0" w:color="auto"/>
        <w:left w:val="none" w:sz="0" w:space="0" w:color="auto"/>
        <w:bottom w:val="none" w:sz="0" w:space="0" w:color="auto"/>
        <w:right w:val="none" w:sz="0" w:space="0" w:color="auto"/>
      </w:divBdr>
      <w:divsChild>
        <w:div w:id="318576723">
          <w:marLeft w:val="806"/>
          <w:marRight w:val="0"/>
          <w:marTop w:val="116"/>
          <w:marBottom w:val="0"/>
          <w:divBdr>
            <w:top w:val="none" w:sz="0" w:space="0" w:color="auto"/>
            <w:left w:val="none" w:sz="0" w:space="0" w:color="auto"/>
            <w:bottom w:val="none" w:sz="0" w:space="0" w:color="auto"/>
            <w:right w:val="none" w:sz="0" w:space="0" w:color="auto"/>
          </w:divBdr>
        </w:div>
      </w:divsChild>
    </w:div>
    <w:div w:id="318576729">
      <w:marLeft w:val="0"/>
      <w:marRight w:val="0"/>
      <w:marTop w:val="0"/>
      <w:marBottom w:val="0"/>
      <w:divBdr>
        <w:top w:val="none" w:sz="0" w:space="0" w:color="auto"/>
        <w:left w:val="none" w:sz="0" w:space="0" w:color="auto"/>
        <w:bottom w:val="none" w:sz="0" w:space="0" w:color="auto"/>
        <w:right w:val="none" w:sz="0" w:space="0" w:color="auto"/>
      </w:divBdr>
      <w:divsChild>
        <w:div w:id="318576721">
          <w:marLeft w:val="806"/>
          <w:marRight w:val="0"/>
          <w:marTop w:val="116"/>
          <w:marBottom w:val="0"/>
          <w:divBdr>
            <w:top w:val="none" w:sz="0" w:space="0" w:color="auto"/>
            <w:left w:val="none" w:sz="0" w:space="0" w:color="auto"/>
            <w:bottom w:val="none" w:sz="0" w:space="0" w:color="auto"/>
            <w:right w:val="none" w:sz="0" w:space="0" w:color="auto"/>
          </w:divBdr>
        </w:div>
      </w:divsChild>
    </w:div>
    <w:div w:id="318576731">
      <w:marLeft w:val="0"/>
      <w:marRight w:val="0"/>
      <w:marTop w:val="0"/>
      <w:marBottom w:val="0"/>
      <w:divBdr>
        <w:top w:val="none" w:sz="0" w:space="0" w:color="auto"/>
        <w:left w:val="none" w:sz="0" w:space="0" w:color="auto"/>
        <w:bottom w:val="none" w:sz="0" w:space="0" w:color="auto"/>
        <w:right w:val="none" w:sz="0" w:space="0" w:color="auto"/>
      </w:divBdr>
      <w:divsChild>
        <w:div w:id="318576709">
          <w:marLeft w:val="806"/>
          <w:marRight w:val="0"/>
          <w:marTop w:val="11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2278</Words>
  <Characters>12530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FAGOO</dc:creator>
  <cp:lastModifiedBy>François</cp:lastModifiedBy>
  <cp:revision>2</cp:revision>
  <cp:lastPrinted>2016-03-21T08:52:00Z</cp:lastPrinted>
  <dcterms:created xsi:type="dcterms:W3CDTF">2016-10-09T11:35:00Z</dcterms:created>
  <dcterms:modified xsi:type="dcterms:W3CDTF">2016-10-09T11:35:00Z</dcterms:modified>
</cp:coreProperties>
</file>